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E78C" w14:textId="77777777" w:rsidR="009A05BC" w:rsidRDefault="009A05BC" w:rsidP="009A05BC">
      <w:pPr>
        <w:pStyle w:val="berschrift1"/>
        <w:spacing w:after="278"/>
      </w:pPr>
      <w:r>
        <w:rPr>
          <w:i/>
        </w:rPr>
        <w:t>Ereignisse des konfessionellen Zeitalters (Gruppe B)</w:t>
      </w:r>
    </w:p>
    <w:p w14:paraId="4B35CB76" w14:textId="77777777" w:rsidR="009A05BC" w:rsidRDefault="009A05BC" w:rsidP="009A05BC">
      <w:pPr>
        <w:numPr>
          <w:ilvl w:val="0"/>
          <w:numId w:val="1"/>
        </w:numPr>
        <w:spacing w:after="0"/>
        <w:jc w:val="both"/>
        <w:rPr>
          <w:rFonts w:ascii="Arial" w:hAnsi="Arial" w:cs="Arial"/>
          <w:i/>
        </w:rPr>
      </w:pPr>
      <w:r w:rsidRPr="006C7278">
        <w:rPr>
          <w:rFonts w:ascii="Arial" w:hAnsi="Arial" w:cs="Arial"/>
          <w:i/>
        </w:rPr>
        <w:t xml:space="preserve">Höre dir das Experteninterview mit Friedrich </w:t>
      </w:r>
      <w:proofErr w:type="spellStart"/>
      <w:r w:rsidRPr="006C7278">
        <w:rPr>
          <w:rFonts w:ascii="Arial" w:hAnsi="Arial" w:cs="Arial"/>
          <w:i/>
        </w:rPr>
        <w:t>Quaasdorf</w:t>
      </w:r>
      <w:proofErr w:type="spellEnd"/>
      <w:r w:rsidRPr="006C7278">
        <w:rPr>
          <w:rFonts w:ascii="Arial" w:hAnsi="Arial" w:cs="Arial"/>
          <w:i/>
        </w:rPr>
        <w:t xml:space="preserve"> von der Universität Leipzig zur Reformationszeit an. </w:t>
      </w:r>
    </w:p>
    <w:p w14:paraId="69CB5365" w14:textId="77777777" w:rsidR="009A05BC" w:rsidRPr="008552D7" w:rsidRDefault="009A05BC" w:rsidP="009A05BC">
      <w:pPr>
        <w:numPr>
          <w:ilvl w:val="0"/>
          <w:numId w:val="1"/>
        </w:numPr>
        <w:spacing w:after="0"/>
        <w:jc w:val="both"/>
        <w:rPr>
          <w:rFonts w:ascii="Arial" w:hAnsi="Arial" w:cs="Arial"/>
          <w:i/>
        </w:rPr>
      </w:pPr>
      <w:r w:rsidRPr="006C7278">
        <w:rPr>
          <w:rFonts w:ascii="Arial" w:hAnsi="Arial" w:cs="Arial"/>
          <w:i/>
        </w:rPr>
        <w:t>Erkläre anschließend die Begriffe „Reformation“ und „Ablasshandel“ in eigenen Worten.</w:t>
      </w:r>
    </w:p>
    <w:p w14:paraId="384B2840" w14:textId="77777777" w:rsidR="009A05BC" w:rsidRDefault="009A05BC" w:rsidP="009A05BC">
      <w:pPr>
        <w:spacing w:after="0"/>
        <w:ind w:left="7"/>
        <w:jc w:val="both"/>
      </w:pPr>
    </w:p>
    <w:p w14:paraId="365401EE" w14:textId="77777777" w:rsidR="009A05BC" w:rsidRDefault="009A05BC" w:rsidP="009A05BC">
      <w:pPr>
        <w:spacing w:after="24" w:line="253" w:lineRule="auto"/>
        <w:ind w:left="-698" w:firstLine="688"/>
      </w:pPr>
      <w:r>
        <w:rPr>
          <w:b/>
          <w:sz w:val="24"/>
        </w:rPr>
        <w:t>Reformation =</w:t>
      </w:r>
    </w:p>
    <w:p w14:paraId="4FDAE9C4" w14:textId="77777777" w:rsidR="009A05BC" w:rsidRDefault="009A05BC" w:rsidP="009A05BC">
      <w:pPr>
        <w:spacing w:after="0"/>
        <w:ind w:right="-7" w:hanging="10"/>
      </w:pPr>
      <w:r>
        <w:rPr>
          <w:b/>
          <w:sz w:val="28"/>
        </w:rPr>
        <w:t>_________________________________________________________________</w:t>
      </w:r>
    </w:p>
    <w:p w14:paraId="1C46EA08" w14:textId="77777777" w:rsidR="009A05BC" w:rsidRDefault="009A05BC" w:rsidP="009A05BC">
      <w:pPr>
        <w:spacing w:after="0"/>
        <w:ind w:right="-7" w:hanging="10"/>
      </w:pPr>
      <w:r>
        <w:rPr>
          <w:b/>
          <w:sz w:val="28"/>
        </w:rPr>
        <w:br/>
      </w:r>
      <w:r>
        <w:rPr>
          <w:b/>
          <w:sz w:val="28"/>
        </w:rPr>
        <w:t>_________________________________________________________________</w:t>
      </w:r>
    </w:p>
    <w:p w14:paraId="678D08F9" w14:textId="77777777" w:rsidR="009A05BC" w:rsidRDefault="009A05BC" w:rsidP="009A05BC">
      <w:pPr>
        <w:spacing w:after="24" w:line="253" w:lineRule="auto"/>
        <w:ind w:left="-10"/>
      </w:pPr>
      <w:r>
        <w:rPr>
          <w:b/>
          <w:sz w:val="28"/>
        </w:rPr>
        <w:br/>
      </w:r>
      <w:r>
        <w:rPr>
          <w:b/>
          <w:sz w:val="24"/>
        </w:rPr>
        <w:t>Ablasshandel =</w:t>
      </w:r>
    </w:p>
    <w:p w14:paraId="289E3105" w14:textId="77777777" w:rsidR="009A05BC" w:rsidRDefault="009A05BC" w:rsidP="009A05BC">
      <w:pPr>
        <w:spacing w:after="0"/>
        <w:ind w:right="-7" w:hanging="10"/>
      </w:pPr>
      <w:r>
        <w:rPr>
          <w:b/>
          <w:sz w:val="28"/>
        </w:rPr>
        <w:t>_________________________________________________________________</w:t>
      </w:r>
    </w:p>
    <w:p w14:paraId="57CB4A42" w14:textId="77777777" w:rsidR="009A05BC" w:rsidRDefault="009A05BC" w:rsidP="009A05BC">
      <w:pPr>
        <w:spacing w:after="0"/>
        <w:ind w:right="-7" w:hanging="10"/>
      </w:pPr>
      <w:r>
        <w:rPr>
          <w:b/>
          <w:sz w:val="28"/>
        </w:rPr>
        <w:br/>
      </w:r>
      <w:r>
        <w:rPr>
          <w:b/>
          <w:sz w:val="28"/>
        </w:rPr>
        <w:t>_________________________________________________________________</w:t>
      </w:r>
    </w:p>
    <w:p w14:paraId="2CEC9DB8" w14:textId="77777777" w:rsidR="009A05BC" w:rsidRDefault="009A05BC" w:rsidP="009A05BC">
      <w:pPr>
        <w:spacing w:after="0"/>
        <w:ind w:left="705"/>
        <w:jc w:val="both"/>
        <w:rPr>
          <w:rFonts w:ascii="Arial" w:hAnsi="Arial" w:cs="Arial"/>
          <w:i/>
        </w:rPr>
      </w:pPr>
    </w:p>
    <w:p w14:paraId="0C6B6A39" w14:textId="77777777" w:rsidR="009A05BC" w:rsidRDefault="009A05BC" w:rsidP="009A05BC">
      <w:pPr>
        <w:pStyle w:val="Listenabsatz"/>
        <w:numPr>
          <w:ilvl w:val="0"/>
          <w:numId w:val="1"/>
        </w:numPr>
        <w:spacing w:after="0"/>
        <w:jc w:val="both"/>
        <w:rPr>
          <w:rFonts w:ascii="Arial" w:hAnsi="Arial" w:cs="Arial"/>
          <w:i/>
        </w:rPr>
      </w:pPr>
      <w:r>
        <w:rPr>
          <w:rFonts w:ascii="Arial" w:hAnsi="Arial" w:cs="Arial"/>
          <w:i/>
        </w:rPr>
        <w:t>Vervollständige die Tabelle zu Ereignissen der Reformationszeit.</w:t>
      </w:r>
    </w:p>
    <w:p w14:paraId="0FD6C009" w14:textId="77777777" w:rsidR="009A05BC" w:rsidRPr="009A05BC" w:rsidRDefault="009A05BC" w:rsidP="009A05BC">
      <w:pPr>
        <w:pStyle w:val="Listenabsatz"/>
        <w:spacing w:after="0"/>
        <w:ind w:left="360"/>
        <w:jc w:val="both"/>
        <w:rPr>
          <w:rFonts w:ascii="Arial" w:hAnsi="Arial" w:cs="Arial"/>
          <w:i/>
          <w:sz w:val="6"/>
          <w:szCs w:val="6"/>
        </w:rPr>
      </w:pPr>
    </w:p>
    <w:tbl>
      <w:tblPr>
        <w:tblStyle w:val="Tabellenraster"/>
        <w:tblW w:w="0" w:type="auto"/>
        <w:tblInd w:w="-3" w:type="dxa"/>
        <w:tblLook w:val="04A0" w:firstRow="1" w:lastRow="0" w:firstColumn="1" w:lastColumn="0" w:noHBand="0" w:noVBand="1"/>
      </w:tblPr>
      <w:tblGrid>
        <w:gridCol w:w="1470"/>
        <w:gridCol w:w="2815"/>
        <w:gridCol w:w="4763"/>
      </w:tblGrid>
      <w:tr w:rsidR="009A05BC" w14:paraId="6E186F54" w14:textId="77777777" w:rsidTr="007B4730">
        <w:tc>
          <w:tcPr>
            <w:tcW w:w="1470" w:type="dxa"/>
            <w:shd w:val="clear" w:color="auto" w:fill="D9D9D9" w:themeFill="background1" w:themeFillShade="D9"/>
          </w:tcPr>
          <w:p w14:paraId="3C91DD01" w14:textId="77777777" w:rsidR="009A05BC" w:rsidRPr="00900556" w:rsidRDefault="009A05BC" w:rsidP="007B4730">
            <w:pPr>
              <w:pStyle w:val="Listenabsatz"/>
              <w:spacing w:after="0"/>
              <w:ind w:left="0"/>
              <w:rPr>
                <w:rFonts w:ascii="Arial" w:hAnsi="Arial" w:cs="Arial"/>
                <w:b/>
                <w:i/>
              </w:rPr>
            </w:pPr>
            <w:r w:rsidRPr="00900556">
              <w:rPr>
                <w:rFonts w:ascii="Arial" w:hAnsi="Arial" w:cs="Arial"/>
                <w:b/>
                <w:i/>
              </w:rPr>
              <w:t>Jahreszahl</w:t>
            </w:r>
          </w:p>
        </w:tc>
        <w:tc>
          <w:tcPr>
            <w:tcW w:w="2815" w:type="dxa"/>
            <w:shd w:val="clear" w:color="auto" w:fill="D9D9D9" w:themeFill="background1" w:themeFillShade="D9"/>
          </w:tcPr>
          <w:p w14:paraId="42D850FF" w14:textId="77777777" w:rsidR="009A05BC" w:rsidRPr="00900556" w:rsidRDefault="009A05BC" w:rsidP="007B4730">
            <w:pPr>
              <w:pStyle w:val="Listenabsatz"/>
              <w:spacing w:after="0"/>
              <w:ind w:left="0"/>
              <w:rPr>
                <w:rFonts w:ascii="Arial" w:hAnsi="Arial" w:cs="Arial"/>
                <w:b/>
                <w:i/>
              </w:rPr>
            </w:pPr>
            <w:r w:rsidRPr="00900556">
              <w:rPr>
                <w:rFonts w:ascii="Arial" w:hAnsi="Arial" w:cs="Arial"/>
                <w:b/>
                <w:i/>
              </w:rPr>
              <w:t>Ereignis</w:t>
            </w:r>
          </w:p>
        </w:tc>
        <w:tc>
          <w:tcPr>
            <w:tcW w:w="4763" w:type="dxa"/>
            <w:shd w:val="clear" w:color="auto" w:fill="D9D9D9" w:themeFill="background1" w:themeFillShade="D9"/>
          </w:tcPr>
          <w:p w14:paraId="7FA8141C" w14:textId="77777777" w:rsidR="009A05BC" w:rsidRPr="00900556" w:rsidRDefault="009A05BC" w:rsidP="009A05BC">
            <w:pPr>
              <w:pStyle w:val="Listenabsatz"/>
              <w:ind w:left="0"/>
              <w:rPr>
                <w:rFonts w:ascii="Arial" w:hAnsi="Arial" w:cs="Arial"/>
                <w:b/>
                <w:i/>
              </w:rPr>
            </w:pPr>
            <w:r w:rsidRPr="00900556">
              <w:rPr>
                <w:rFonts w:ascii="Arial" w:hAnsi="Arial" w:cs="Arial"/>
                <w:b/>
                <w:i/>
              </w:rPr>
              <w:t>Erläuterung zum historischen Ereignis</w:t>
            </w:r>
          </w:p>
        </w:tc>
      </w:tr>
      <w:tr w:rsidR="009A05BC" w14:paraId="32330792" w14:textId="77777777" w:rsidTr="007B4730">
        <w:tc>
          <w:tcPr>
            <w:tcW w:w="1470" w:type="dxa"/>
          </w:tcPr>
          <w:p w14:paraId="3A73DEC7" w14:textId="77777777" w:rsidR="009A05BC" w:rsidRDefault="009A05BC" w:rsidP="007B4730">
            <w:pPr>
              <w:pStyle w:val="Listenabsatz"/>
              <w:ind w:left="0"/>
              <w:rPr>
                <w:rFonts w:ascii="Arial" w:hAnsi="Arial" w:cs="Arial"/>
                <w:i/>
              </w:rPr>
            </w:pPr>
          </w:p>
          <w:p w14:paraId="0A365C7A" w14:textId="77777777" w:rsidR="009A05BC" w:rsidRDefault="009A05BC" w:rsidP="007B4730">
            <w:pPr>
              <w:pStyle w:val="Listenabsatz"/>
              <w:ind w:left="0"/>
              <w:rPr>
                <w:rFonts w:ascii="Arial" w:hAnsi="Arial" w:cs="Arial"/>
                <w:i/>
              </w:rPr>
            </w:pPr>
            <w:r>
              <w:rPr>
                <w:rFonts w:ascii="Arial" w:hAnsi="Arial" w:cs="Arial"/>
                <w:i/>
              </w:rPr>
              <w:t>1517</w:t>
            </w:r>
          </w:p>
          <w:p w14:paraId="6286622D" w14:textId="77777777" w:rsidR="009A05BC" w:rsidRDefault="009A05BC" w:rsidP="007B4730">
            <w:pPr>
              <w:pStyle w:val="Listenabsatz"/>
              <w:ind w:left="0"/>
              <w:rPr>
                <w:rFonts w:ascii="Arial" w:hAnsi="Arial" w:cs="Arial"/>
                <w:i/>
              </w:rPr>
            </w:pPr>
          </w:p>
          <w:p w14:paraId="5871387B" w14:textId="77777777" w:rsidR="009A05BC" w:rsidRDefault="009A05BC" w:rsidP="007B4730">
            <w:pPr>
              <w:pStyle w:val="Listenabsatz"/>
              <w:spacing w:after="0"/>
              <w:ind w:left="0"/>
              <w:rPr>
                <w:rFonts w:ascii="Arial" w:hAnsi="Arial" w:cs="Arial"/>
                <w:i/>
              </w:rPr>
            </w:pPr>
          </w:p>
        </w:tc>
        <w:tc>
          <w:tcPr>
            <w:tcW w:w="2815" w:type="dxa"/>
          </w:tcPr>
          <w:p w14:paraId="0A90A240" w14:textId="77777777" w:rsidR="009A05BC" w:rsidRDefault="009A05BC" w:rsidP="007B4730">
            <w:pPr>
              <w:pStyle w:val="Listenabsatz"/>
              <w:spacing w:after="0"/>
              <w:ind w:left="0"/>
              <w:rPr>
                <w:rFonts w:ascii="Arial" w:hAnsi="Arial" w:cs="Arial"/>
                <w:i/>
              </w:rPr>
            </w:pPr>
          </w:p>
        </w:tc>
        <w:tc>
          <w:tcPr>
            <w:tcW w:w="4763" w:type="dxa"/>
          </w:tcPr>
          <w:p w14:paraId="69AD2360" w14:textId="77777777" w:rsidR="009A05BC" w:rsidRDefault="009A05BC" w:rsidP="007B4730">
            <w:pPr>
              <w:pStyle w:val="Listenabsatz"/>
              <w:spacing w:after="0"/>
              <w:ind w:left="0"/>
              <w:rPr>
                <w:rFonts w:ascii="Arial" w:hAnsi="Arial" w:cs="Arial"/>
                <w:i/>
              </w:rPr>
            </w:pPr>
          </w:p>
        </w:tc>
      </w:tr>
      <w:tr w:rsidR="009A05BC" w14:paraId="00A33F02" w14:textId="77777777" w:rsidTr="007B4730">
        <w:tc>
          <w:tcPr>
            <w:tcW w:w="1470" w:type="dxa"/>
          </w:tcPr>
          <w:p w14:paraId="6AB642E1" w14:textId="77777777" w:rsidR="009A05BC" w:rsidRDefault="009A05BC" w:rsidP="007B4730">
            <w:pPr>
              <w:pStyle w:val="Listenabsatz"/>
              <w:ind w:left="0"/>
              <w:rPr>
                <w:rFonts w:ascii="Arial" w:hAnsi="Arial" w:cs="Arial"/>
                <w:i/>
              </w:rPr>
            </w:pPr>
          </w:p>
          <w:p w14:paraId="6D309F95" w14:textId="77777777" w:rsidR="009A05BC" w:rsidRDefault="009A05BC" w:rsidP="007B4730">
            <w:pPr>
              <w:pStyle w:val="Listenabsatz"/>
              <w:ind w:left="0"/>
              <w:rPr>
                <w:rFonts w:ascii="Arial" w:hAnsi="Arial" w:cs="Arial"/>
                <w:i/>
              </w:rPr>
            </w:pPr>
          </w:p>
          <w:p w14:paraId="7D66FBE7" w14:textId="77777777" w:rsidR="009A05BC" w:rsidRDefault="009A05BC" w:rsidP="007B4730">
            <w:pPr>
              <w:pStyle w:val="Listenabsatz"/>
              <w:spacing w:after="0"/>
              <w:ind w:left="0"/>
              <w:rPr>
                <w:rFonts w:ascii="Arial" w:hAnsi="Arial" w:cs="Arial"/>
                <w:i/>
              </w:rPr>
            </w:pPr>
          </w:p>
        </w:tc>
        <w:tc>
          <w:tcPr>
            <w:tcW w:w="2815" w:type="dxa"/>
          </w:tcPr>
          <w:p w14:paraId="72DAD8F5" w14:textId="77777777" w:rsidR="009A05BC" w:rsidRDefault="009A05BC" w:rsidP="007B4730">
            <w:pPr>
              <w:pStyle w:val="Listenabsatz"/>
              <w:ind w:left="0"/>
              <w:rPr>
                <w:rFonts w:ascii="Arial" w:hAnsi="Arial" w:cs="Arial"/>
                <w:i/>
              </w:rPr>
            </w:pPr>
          </w:p>
          <w:p w14:paraId="50C21B93" w14:textId="77777777" w:rsidR="009A05BC" w:rsidRDefault="00174174" w:rsidP="009A05BC">
            <w:pPr>
              <w:pStyle w:val="Listenabsatz"/>
              <w:ind w:left="0"/>
              <w:rPr>
                <w:rFonts w:ascii="Arial" w:hAnsi="Arial" w:cs="Arial"/>
                <w:i/>
              </w:rPr>
            </w:pPr>
            <w:r>
              <w:rPr>
                <w:rFonts w:ascii="Arial" w:hAnsi="Arial" w:cs="Arial"/>
                <w:i/>
              </w:rPr>
              <w:t>Bauernkrieg</w:t>
            </w:r>
          </w:p>
        </w:tc>
        <w:tc>
          <w:tcPr>
            <w:tcW w:w="4763" w:type="dxa"/>
          </w:tcPr>
          <w:p w14:paraId="41A8B7E2" w14:textId="77777777" w:rsidR="009A05BC" w:rsidRDefault="009A05BC" w:rsidP="007B4730">
            <w:pPr>
              <w:pStyle w:val="Listenabsatz"/>
              <w:spacing w:after="0"/>
              <w:ind w:left="0"/>
              <w:rPr>
                <w:rFonts w:ascii="Arial" w:hAnsi="Arial" w:cs="Arial"/>
                <w:i/>
              </w:rPr>
            </w:pPr>
          </w:p>
        </w:tc>
      </w:tr>
      <w:tr w:rsidR="009A05BC" w14:paraId="457EC60A" w14:textId="77777777" w:rsidTr="009A05BC">
        <w:trPr>
          <w:trHeight w:val="781"/>
        </w:trPr>
        <w:tc>
          <w:tcPr>
            <w:tcW w:w="1470" w:type="dxa"/>
          </w:tcPr>
          <w:p w14:paraId="11B4E468" w14:textId="77777777" w:rsidR="009A05BC" w:rsidRDefault="009A05BC" w:rsidP="007B4730">
            <w:pPr>
              <w:pStyle w:val="Listenabsatz"/>
              <w:ind w:left="0"/>
              <w:rPr>
                <w:rFonts w:ascii="Arial" w:hAnsi="Arial" w:cs="Arial"/>
                <w:i/>
              </w:rPr>
            </w:pPr>
          </w:p>
          <w:p w14:paraId="63AB117E" w14:textId="77777777" w:rsidR="009A05BC" w:rsidRDefault="009A05BC" w:rsidP="007B4730">
            <w:pPr>
              <w:pStyle w:val="Listenabsatz"/>
              <w:ind w:left="0"/>
              <w:rPr>
                <w:rFonts w:ascii="Arial" w:hAnsi="Arial" w:cs="Arial"/>
                <w:i/>
              </w:rPr>
            </w:pPr>
            <w:r>
              <w:rPr>
                <w:rFonts w:ascii="Arial" w:hAnsi="Arial" w:cs="Arial"/>
                <w:i/>
              </w:rPr>
              <w:t>1530</w:t>
            </w:r>
          </w:p>
          <w:p w14:paraId="34CAFE74" w14:textId="77777777" w:rsidR="009A05BC" w:rsidRDefault="009A05BC" w:rsidP="007B4730">
            <w:pPr>
              <w:pStyle w:val="Listenabsatz"/>
              <w:ind w:left="0"/>
              <w:rPr>
                <w:rFonts w:ascii="Arial" w:hAnsi="Arial" w:cs="Arial"/>
                <w:i/>
              </w:rPr>
            </w:pPr>
          </w:p>
          <w:p w14:paraId="6A908B0B" w14:textId="77777777" w:rsidR="009A05BC" w:rsidRDefault="009A05BC" w:rsidP="007B4730">
            <w:pPr>
              <w:pStyle w:val="Listenabsatz"/>
              <w:spacing w:after="0"/>
              <w:ind w:left="0"/>
              <w:rPr>
                <w:rFonts w:ascii="Arial" w:hAnsi="Arial" w:cs="Arial"/>
                <w:i/>
              </w:rPr>
            </w:pPr>
          </w:p>
        </w:tc>
        <w:tc>
          <w:tcPr>
            <w:tcW w:w="2815" w:type="dxa"/>
          </w:tcPr>
          <w:p w14:paraId="46331C35" w14:textId="77777777" w:rsidR="009A05BC" w:rsidRDefault="009A05BC" w:rsidP="007B4730">
            <w:pPr>
              <w:pStyle w:val="Listenabsatz"/>
              <w:spacing w:after="0"/>
              <w:ind w:left="0"/>
              <w:rPr>
                <w:rFonts w:ascii="Arial" w:hAnsi="Arial" w:cs="Arial"/>
                <w:i/>
              </w:rPr>
            </w:pPr>
          </w:p>
        </w:tc>
        <w:tc>
          <w:tcPr>
            <w:tcW w:w="4763" w:type="dxa"/>
          </w:tcPr>
          <w:p w14:paraId="31CDF6B8" w14:textId="77777777" w:rsidR="009A05BC" w:rsidRDefault="009A05BC" w:rsidP="007B4730">
            <w:pPr>
              <w:pStyle w:val="Listenabsatz"/>
              <w:spacing w:after="0"/>
              <w:ind w:left="0"/>
              <w:rPr>
                <w:rFonts w:ascii="Arial" w:hAnsi="Arial" w:cs="Arial"/>
                <w:i/>
              </w:rPr>
            </w:pPr>
          </w:p>
        </w:tc>
      </w:tr>
      <w:tr w:rsidR="009A05BC" w14:paraId="652F8E02" w14:textId="77777777" w:rsidTr="009A05BC">
        <w:trPr>
          <w:trHeight w:val="683"/>
        </w:trPr>
        <w:tc>
          <w:tcPr>
            <w:tcW w:w="1470" w:type="dxa"/>
          </w:tcPr>
          <w:p w14:paraId="2B803544" w14:textId="77777777" w:rsidR="009A05BC" w:rsidRDefault="009A05BC" w:rsidP="007B4730">
            <w:pPr>
              <w:pStyle w:val="Listenabsatz"/>
              <w:ind w:left="0"/>
              <w:rPr>
                <w:rFonts w:ascii="Arial" w:hAnsi="Arial" w:cs="Arial"/>
                <w:i/>
              </w:rPr>
            </w:pPr>
          </w:p>
          <w:p w14:paraId="70883E0D" w14:textId="77777777" w:rsidR="009A05BC" w:rsidRDefault="009A05BC" w:rsidP="007B4730">
            <w:pPr>
              <w:pStyle w:val="Listenabsatz"/>
              <w:ind w:left="0"/>
              <w:rPr>
                <w:rFonts w:ascii="Arial" w:hAnsi="Arial" w:cs="Arial"/>
                <w:i/>
              </w:rPr>
            </w:pPr>
          </w:p>
          <w:p w14:paraId="35C17C73" w14:textId="77777777" w:rsidR="009A05BC" w:rsidRDefault="009A05BC" w:rsidP="007B4730">
            <w:pPr>
              <w:pStyle w:val="Listenabsatz"/>
              <w:ind w:left="0"/>
              <w:rPr>
                <w:rFonts w:ascii="Arial" w:hAnsi="Arial" w:cs="Arial"/>
                <w:i/>
              </w:rPr>
            </w:pPr>
          </w:p>
          <w:p w14:paraId="5AD007D7" w14:textId="77777777" w:rsidR="009A05BC" w:rsidRDefault="009A05BC" w:rsidP="007B4730">
            <w:pPr>
              <w:pStyle w:val="Listenabsatz"/>
              <w:spacing w:after="0"/>
              <w:ind w:left="0"/>
              <w:rPr>
                <w:rFonts w:ascii="Arial" w:hAnsi="Arial" w:cs="Arial"/>
                <w:i/>
              </w:rPr>
            </w:pPr>
          </w:p>
        </w:tc>
        <w:tc>
          <w:tcPr>
            <w:tcW w:w="2815" w:type="dxa"/>
          </w:tcPr>
          <w:p w14:paraId="79C9A88E" w14:textId="77777777" w:rsidR="009A05BC" w:rsidRDefault="009A05BC" w:rsidP="007B4730">
            <w:pPr>
              <w:pStyle w:val="Listenabsatz"/>
              <w:spacing w:after="0"/>
              <w:ind w:left="0"/>
              <w:rPr>
                <w:rFonts w:ascii="Arial" w:hAnsi="Arial" w:cs="Arial"/>
                <w:i/>
              </w:rPr>
            </w:pPr>
          </w:p>
        </w:tc>
        <w:tc>
          <w:tcPr>
            <w:tcW w:w="4763" w:type="dxa"/>
          </w:tcPr>
          <w:p w14:paraId="48544D8A" w14:textId="77777777" w:rsidR="009A05BC" w:rsidRDefault="009A05BC" w:rsidP="007B4730">
            <w:pPr>
              <w:pStyle w:val="Listenabsatz"/>
              <w:spacing w:after="0"/>
              <w:ind w:left="0"/>
              <w:rPr>
                <w:rFonts w:ascii="Arial" w:hAnsi="Arial" w:cs="Arial"/>
                <w:i/>
              </w:rPr>
            </w:pPr>
          </w:p>
        </w:tc>
      </w:tr>
      <w:tr w:rsidR="009A05BC" w14:paraId="386AF8D2" w14:textId="77777777" w:rsidTr="009A05BC">
        <w:trPr>
          <w:trHeight w:val="963"/>
        </w:trPr>
        <w:tc>
          <w:tcPr>
            <w:tcW w:w="1470" w:type="dxa"/>
          </w:tcPr>
          <w:p w14:paraId="6C67CBA0" w14:textId="77777777" w:rsidR="009A05BC" w:rsidRDefault="009A05BC" w:rsidP="007B4730">
            <w:pPr>
              <w:pStyle w:val="Listenabsatz"/>
              <w:ind w:left="0"/>
              <w:rPr>
                <w:rFonts w:ascii="Arial" w:hAnsi="Arial" w:cs="Arial"/>
                <w:i/>
              </w:rPr>
            </w:pPr>
          </w:p>
          <w:p w14:paraId="64FB9E5A" w14:textId="77777777" w:rsidR="009A05BC" w:rsidRDefault="009A05BC" w:rsidP="007B4730">
            <w:pPr>
              <w:pStyle w:val="Listenabsatz"/>
              <w:ind w:left="0"/>
              <w:rPr>
                <w:rFonts w:ascii="Arial" w:hAnsi="Arial" w:cs="Arial"/>
                <w:i/>
              </w:rPr>
            </w:pPr>
          </w:p>
          <w:p w14:paraId="23F6CBD2" w14:textId="77777777" w:rsidR="009A05BC" w:rsidRDefault="009A05BC" w:rsidP="007B4730">
            <w:pPr>
              <w:pStyle w:val="Listenabsatz"/>
              <w:ind w:left="0"/>
              <w:rPr>
                <w:rFonts w:ascii="Arial" w:hAnsi="Arial" w:cs="Arial"/>
                <w:i/>
              </w:rPr>
            </w:pPr>
          </w:p>
          <w:p w14:paraId="4DF60B0F" w14:textId="77777777" w:rsidR="009A05BC" w:rsidRDefault="009A05BC" w:rsidP="007B4730">
            <w:pPr>
              <w:pStyle w:val="Listenabsatz"/>
              <w:spacing w:after="0"/>
              <w:ind w:left="0"/>
              <w:rPr>
                <w:rFonts w:ascii="Arial" w:hAnsi="Arial" w:cs="Arial"/>
                <w:i/>
              </w:rPr>
            </w:pPr>
          </w:p>
        </w:tc>
        <w:tc>
          <w:tcPr>
            <w:tcW w:w="2815" w:type="dxa"/>
          </w:tcPr>
          <w:p w14:paraId="73131B22" w14:textId="77777777" w:rsidR="009A05BC" w:rsidRDefault="009A05BC" w:rsidP="007B4730">
            <w:pPr>
              <w:pStyle w:val="Listenabsatz"/>
              <w:spacing w:after="0"/>
              <w:ind w:left="0"/>
              <w:rPr>
                <w:rFonts w:ascii="Arial" w:hAnsi="Arial" w:cs="Arial"/>
                <w:i/>
              </w:rPr>
            </w:pPr>
          </w:p>
        </w:tc>
        <w:tc>
          <w:tcPr>
            <w:tcW w:w="4763" w:type="dxa"/>
          </w:tcPr>
          <w:p w14:paraId="3F04DBA4" w14:textId="77777777" w:rsidR="009A05BC" w:rsidRDefault="009A05BC" w:rsidP="007B4730">
            <w:pPr>
              <w:pStyle w:val="Listenabsatz"/>
              <w:spacing w:after="0"/>
              <w:ind w:left="0"/>
              <w:rPr>
                <w:rFonts w:ascii="Arial" w:hAnsi="Arial" w:cs="Arial"/>
                <w:i/>
              </w:rPr>
            </w:pPr>
          </w:p>
        </w:tc>
      </w:tr>
      <w:tr w:rsidR="009A05BC" w14:paraId="409A1672" w14:textId="77777777" w:rsidTr="007B4730">
        <w:tc>
          <w:tcPr>
            <w:tcW w:w="1470" w:type="dxa"/>
          </w:tcPr>
          <w:p w14:paraId="7AD86CBF" w14:textId="77777777" w:rsidR="009A05BC" w:rsidRDefault="009A05BC" w:rsidP="007B4730">
            <w:pPr>
              <w:pStyle w:val="Listenabsatz"/>
              <w:spacing w:after="0"/>
              <w:ind w:left="0"/>
              <w:rPr>
                <w:rFonts w:ascii="Arial" w:hAnsi="Arial" w:cs="Arial"/>
                <w:i/>
              </w:rPr>
            </w:pPr>
          </w:p>
        </w:tc>
        <w:tc>
          <w:tcPr>
            <w:tcW w:w="2815" w:type="dxa"/>
          </w:tcPr>
          <w:p w14:paraId="5BD0E122" w14:textId="77777777" w:rsidR="009A05BC" w:rsidRDefault="009A05BC" w:rsidP="007B4730">
            <w:pPr>
              <w:pStyle w:val="Listenabsatz"/>
              <w:ind w:left="0"/>
              <w:rPr>
                <w:rFonts w:ascii="Arial" w:hAnsi="Arial" w:cs="Arial"/>
                <w:i/>
              </w:rPr>
            </w:pPr>
          </w:p>
          <w:p w14:paraId="7759B807" w14:textId="77777777" w:rsidR="009A05BC" w:rsidRDefault="009A05BC" w:rsidP="007B4730">
            <w:pPr>
              <w:pStyle w:val="Listenabsatz"/>
              <w:spacing w:after="0"/>
              <w:ind w:left="0"/>
              <w:rPr>
                <w:rFonts w:ascii="Arial" w:hAnsi="Arial" w:cs="Arial"/>
                <w:i/>
              </w:rPr>
            </w:pPr>
            <w:r>
              <w:rPr>
                <w:rFonts w:ascii="Arial" w:hAnsi="Arial" w:cs="Arial"/>
                <w:i/>
              </w:rPr>
              <w:t>Dreißigjähriger Krieg</w:t>
            </w:r>
          </w:p>
        </w:tc>
        <w:tc>
          <w:tcPr>
            <w:tcW w:w="4763" w:type="dxa"/>
          </w:tcPr>
          <w:p w14:paraId="47F5ED36" w14:textId="77777777" w:rsidR="009A05BC" w:rsidRDefault="009A05BC" w:rsidP="007B4730">
            <w:pPr>
              <w:pStyle w:val="Listenabsatz"/>
              <w:spacing w:after="0"/>
              <w:ind w:left="0"/>
              <w:rPr>
                <w:rFonts w:ascii="Arial" w:hAnsi="Arial" w:cs="Arial"/>
                <w:i/>
              </w:rPr>
            </w:pPr>
            <w:r w:rsidRPr="00900556">
              <w:rPr>
                <w:rFonts w:ascii="Arial" w:hAnsi="Arial" w:cs="Arial"/>
                <w:i/>
              </w:rPr>
              <w:t>Dieser bestand aus den Teilkriegen Böhmisch-Pfälzischer</w:t>
            </w:r>
            <w:r>
              <w:rPr>
                <w:rFonts w:ascii="Arial" w:hAnsi="Arial" w:cs="Arial"/>
                <w:i/>
              </w:rPr>
              <w:t xml:space="preserve"> </w:t>
            </w:r>
            <w:r w:rsidRPr="00900556">
              <w:rPr>
                <w:rFonts w:ascii="Arial" w:hAnsi="Arial" w:cs="Arial"/>
                <w:i/>
              </w:rPr>
              <w:t>Krieg, Niedersächsisch-Dänischer Krieg, Schwedischer</w:t>
            </w:r>
            <w:r>
              <w:rPr>
                <w:rFonts w:ascii="Arial" w:hAnsi="Arial" w:cs="Arial"/>
                <w:i/>
              </w:rPr>
              <w:t xml:space="preserve"> </w:t>
            </w:r>
            <w:r w:rsidRPr="00900556">
              <w:rPr>
                <w:rFonts w:ascii="Arial" w:hAnsi="Arial" w:cs="Arial"/>
                <w:i/>
              </w:rPr>
              <w:t>Krieg und Schwedisch-Französischer Krieg und wurde</w:t>
            </w:r>
            <w:r>
              <w:rPr>
                <w:rFonts w:ascii="Arial" w:hAnsi="Arial" w:cs="Arial"/>
                <w:i/>
              </w:rPr>
              <w:t xml:space="preserve"> </w:t>
            </w:r>
            <w:r w:rsidRPr="00900556">
              <w:rPr>
                <w:rFonts w:ascii="Arial" w:hAnsi="Arial" w:cs="Arial"/>
                <w:i/>
              </w:rPr>
              <w:t>durch die Glaubensfrage ausgelöst.</w:t>
            </w:r>
          </w:p>
        </w:tc>
      </w:tr>
      <w:tr w:rsidR="009A05BC" w14:paraId="3E6A86AA" w14:textId="77777777" w:rsidTr="007B4730">
        <w:trPr>
          <w:trHeight w:val="223"/>
        </w:trPr>
        <w:tc>
          <w:tcPr>
            <w:tcW w:w="1470" w:type="dxa"/>
          </w:tcPr>
          <w:p w14:paraId="725BE77B" w14:textId="77777777" w:rsidR="009A05BC" w:rsidRDefault="009A05BC" w:rsidP="007B4730">
            <w:pPr>
              <w:pStyle w:val="Listenabsatz"/>
              <w:ind w:left="0"/>
              <w:rPr>
                <w:rFonts w:ascii="Arial" w:hAnsi="Arial" w:cs="Arial"/>
                <w:i/>
              </w:rPr>
            </w:pPr>
          </w:p>
          <w:p w14:paraId="4ACC523E" w14:textId="77777777" w:rsidR="009A05BC" w:rsidRDefault="009A05BC" w:rsidP="007B4730">
            <w:pPr>
              <w:pStyle w:val="Listenabsatz"/>
              <w:ind w:left="0"/>
              <w:rPr>
                <w:rFonts w:ascii="Arial" w:hAnsi="Arial" w:cs="Arial"/>
                <w:i/>
              </w:rPr>
            </w:pPr>
            <w:r>
              <w:rPr>
                <w:rFonts w:ascii="Arial" w:hAnsi="Arial" w:cs="Arial"/>
                <w:i/>
              </w:rPr>
              <w:t>1648</w:t>
            </w:r>
          </w:p>
          <w:p w14:paraId="1B7BF868" w14:textId="77777777" w:rsidR="009A05BC" w:rsidRDefault="009A05BC" w:rsidP="007B4730">
            <w:pPr>
              <w:pStyle w:val="Listenabsatz"/>
              <w:spacing w:after="0"/>
              <w:ind w:left="0"/>
              <w:rPr>
                <w:rFonts w:ascii="Arial" w:hAnsi="Arial" w:cs="Arial"/>
                <w:i/>
              </w:rPr>
            </w:pPr>
          </w:p>
        </w:tc>
        <w:tc>
          <w:tcPr>
            <w:tcW w:w="2815" w:type="dxa"/>
          </w:tcPr>
          <w:p w14:paraId="7DF56620" w14:textId="77777777" w:rsidR="009A05BC" w:rsidRDefault="009A05BC" w:rsidP="007B4730">
            <w:pPr>
              <w:pStyle w:val="Listenabsatz"/>
              <w:spacing w:after="0"/>
              <w:ind w:left="0"/>
              <w:rPr>
                <w:rFonts w:ascii="Arial" w:hAnsi="Arial" w:cs="Arial"/>
                <w:i/>
              </w:rPr>
            </w:pPr>
          </w:p>
        </w:tc>
        <w:tc>
          <w:tcPr>
            <w:tcW w:w="4763" w:type="dxa"/>
          </w:tcPr>
          <w:p w14:paraId="4A5BCA3E" w14:textId="77777777" w:rsidR="009A05BC" w:rsidRDefault="009A05BC" w:rsidP="007B4730">
            <w:pPr>
              <w:pStyle w:val="Listenabsatz"/>
              <w:spacing w:after="0"/>
              <w:ind w:left="0"/>
              <w:rPr>
                <w:rFonts w:ascii="Arial" w:hAnsi="Arial" w:cs="Arial"/>
                <w:i/>
              </w:rPr>
            </w:pPr>
          </w:p>
        </w:tc>
      </w:tr>
    </w:tbl>
    <w:p w14:paraId="17BCEEF1" w14:textId="77777777" w:rsidR="009A05BC" w:rsidRDefault="009A05BC" w:rsidP="009A05BC">
      <w:pPr>
        <w:spacing w:after="0"/>
        <w:jc w:val="both"/>
        <w:rPr>
          <w:rFonts w:ascii="Arial" w:hAnsi="Arial" w:cs="Arial"/>
          <w:i/>
        </w:rPr>
      </w:pPr>
    </w:p>
    <w:p w14:paraId="46275C75" w14:textId="77777777" w:rsidR="009A05BC" w:rsidRDefault="009A05BC" w:rsidP="009A05BC">
      <w:pPr>
        <w:pStyle w:val="Listenabsatz"/>
        <w:numPr>
          <w:ilvl w:val="0"/>
          <w:numId w:val="1"/>
        </w:numPr>
        <w:spacing w:after="0"/>
        <w:jc w:val="both"/>
        <w:rPr>
          <w:rFonts w:ascii="Arial" w:hAnsi="Arial" w:cs="Arial"/>
          <w:i/>
        </w:rPr>
      </w:pPr>
      <w:r>
        <w:rPr>
          <w:rFonts w:ascii="Arial" w:hAnsi="Arial" w:cs="Arial"/>
          <w:i/>
        </w:rPr>
        <w:t xml:space="preserve">Erkläre in eigenen Worten das Zustandekommen des Bauernkrieges von </w:t>
      </w:r>
      <w:r w:rsidR="00174174">
        <w:rPr>
          <w:rFonts w:ascii="Arial" w:hAnsi="Arial" w:cs="Arial"/>
          <w:i/>
        </w:rPr>
        <w:t>1524-25.</w:t>
      </w:r>
    </w:p>
    <w:p w14:paraId="6F12C43A" w14:textId="77777777" w:rsidR="009A05BC" w:rsidRDefault="009A05BC" w:rsidP="009A05BC">
      <w:pPr>
        <w:spacing w:after="0"/>
        <w:jc w:val="both"/>
        <w:rPr>
          <w:rFonts w:ascii="Arial" w:hAnsi="Arial" w:cs="Arial"/>
          <w:i/>
        </w:rPr>
      </w:pPr>
    </w:p>
    <w:p w14:paraId="3DFEC91A" w14:textId="77777777" w:rsidR="009A05BC" w:rsidRDefault="009A05BC" w:rsidP="009A05BC">
      <w:pPr>
        <w:pBdr>
          <w:top w:val="single" w:sz="12" w:space="1" w:color="auto"/>
          <w:bottom w:val="single" w:sz="12" w:space="1" w:color="auto"/>
        </w:pBdr>
        <w:spacing w:after="0" w:line="265" w:lineRule="auto"/>
        <w:ind w:right="-15"/>
      </w:pPr>
      <w:r>
        <w:br/>
      </w:r>
    </w:p>
    <w:p w14:paraId="7275B0CD" w14:textId="77777777" w:rsidR="009A05BC" w:rsidRDefault="009A05BC" w:rsidP="009A05BC">
      <w:pPr>
        <w:pBdr>
          <w:bottom w:val="single" w:sz="12" w:space="1" w:color="auto"/>
          <w:between w:val="single" w:sz="12" w:space="1" w:color="auto"/>
        </w:pBdr>
        <w:spacing w:after="0" w:line="265" w:lineRule="auto"/>
        <w:ind w:left="-5" w:right="-15" w:hanging="10"/>
      </w:pPr>
      <w:r>
        <w:br/>
      </w:r>
    </w:p>
    <w:p w14:paraId="280C97D1" w14:textId="77777777" w:rsidR="009A05BC" w:rsidRDefault="009A05BC" w:rsidP="009A05BC">
      <w:pPr>
        <w:pBdr>
          <w:bottom w:val="single" w:sz="12" w:space="1" w:color="auto"/>
          <w:between w:val="single" w:sz="12" w:space="1" w:color="auto"/>
        </w:pBdr>
        <w:spacing w:after="0" w:line="265" w:lineRule="auto"/>
        <w:ind w:left="-5" w:right="-15" w:hanging="10"/>
      </w:pPr>
      <w:r>
        <w:br/>
      </w:r>
    </w:p>
    <w:p w14:paraId="062903C6" w14:textId="77777777" w:rsidR="009A05BC" w:rsidRDefault="009A05BC" w:rsidP="009A05BC">
      <w:pPr>
        <w:pBdr>
          <w:bottom w:val="single" w:sz="12" w:space="1" w:color="auto"/>
          <w:between w:val="single" w:sz="12" w:space="1" w:color="auto"/>
        </w:pBdr>
        <w:spacing w:after="0" w:line="265" w:lineRule="auto"/>
        <w:ind w:left="-5" w:right="-15" w:hanging="10"/>
      </w:pPr>
      <w:r>
        <w:br/>
      </w:r>
    </w:p>
    <w:p w14:paraId="6E82640C" w14:textId="77777777" w:rsidR="009A05BC" w:rsidRDefault="009A05BC" w:rsidP="009A05BC">
      <w:pPr>
        <w:spacing w:after="0" w:line="265" w:lineRule="auto"/>
        <w:ind w:right="-15"/>
      </w:pPr>
    </w:p>
    <w:p w14:paraId="1B450524" w14:textId="77777777" w:rsidR="009A05BC" w:rsidRDefault="009A05BC" w:rsidP="009A05BC">
      <w:pPr>
        <w:spacing w:after="0" w:line="265" w:lineRule="auto"/>
        <w:ind w:right="-15"/>
      </w:pPr>
    </w:p>
    <w:p w14:paraId="41E2F565" w14:textId="77777777" w:rsidR="009A05BC" w:rsidRPr="00646873" w:rsidRDefault="009A05BC" w:rsidP="009A05BC">
      <w:pPr>
        <w:pStyle w:val="Listenabsatz"/>
        <w:numPr>
          <w:ilvl w:val="0"/>
          <w:numId w:val="1"/>
        </w:numPr>
        <w:spacing w:after="0"/>
        <w:jc w:val="both"/>
        <w:rPr>
          <w:rFonts w:ascii="Arial" w:hAnsi="Arial" w:cs="Arial"/>
        </w:rPr>
      </w:pPr>
      <w:r w:rsidRPr="00646873">
        <w:rPr>
          <w:rFonts w:ascii="Arial" w:hAnsi="Arial" w:cs="Arial"/>
        </w:rPr>
        <w:t xml:space="preserve">Finde dich mit einem Mitschüler der Gruppe B zusammen. Tauscht eure Ergebnisse </w:t>
      </w:r>
      <w:r w:rsidRPr="00646873">
        <w:rPr>
          <w:rFonts w:ascii="Arial" w:hAnsi="Arial" w:cs="Arial"/>
        </w:rPr>
        <w:br/>
        <w:t xml:space="preserve">aus. Löst anschließend gemeinsam die Learning Apps „Akteure und Einstellungen in der Reformationszeit“ und „Ergebnisse des konfessionellen Zeitalters“. </w:t>
      </w:r>
    </w:p>
    <w:p w14:paraId="3AECE9D3" w14:textId="77777777" w:rsidR="009A05BC" w:rsidRDefault="009A05BC" w:rsidP="009A05BC">
      <w:pPr>
        <w:spacing w:after="0"/>
        <w:jc w:val="both"/>
        <w:rPr>
          <w:rFonts w:ascii="Arial" w:hAnsi="Arial" w:cs="Arial"/>
          <w:i/>
        </w:rPr>
      </w:pPr>
    </w:p>
    <w:p w14:paraId="2DD31E18" w14:textId="77777777" w:rsidR="009A05BC" w:rsidRDefault="009A05BC" w:rsidP="009A05BC">
      <w:pPr>
        <w:spacing w:after="10" w:line="249" w:lineRule="auto"/>
      </w:pPr>
    </w:p>
    <w:tbl>
      <w:tblPr>
        <w:tblStyle w:val="TableGrid"/>
        <w:tblW w:w="8534" w:type="dxa"/>
        <w:tblInd w:w="288" w:type="dxa"/>
        <w:tblCellMar>
          <w:top w:w="98" w:type="dxa"/>
          <w:left w:w="56" w:type="dxa"/>
          <w:right w:w="78" w:type="dxa"/>
        </w:tblCellMar>
        <w:tblLook w:val="04A0" w:firstRow="1" w:lastRow="0" w:firstColumn="1" w:lastColumn="0" w:noHBand="0" w:noVBand="1"/>
      </w:tblPr>
      <w:tblGrid>
        <w:gridCol w:w="2720"/>
        <w:gridCol w:w="3039"/>
        <w:gridCol w:w="2775"/>
      </w:tblGrid>
      <w:tr w:rsidR="009A05BC" w14:paraId="6E53CF84" w14:textId="77777777" w:rsidTr="007B4730">
        <w:trPr>
          <w:trHeight w:val="648"/>
        </w:trPr>
        <w:tc>
          <w:tcPr>
            <w:tcW w:w="2738" w:type="dxa"/>
            <w:tcBorders>
              <w:top w:val="single" w:sz="2" w:space="0" w:color="000000"/>
              <w:left w:val="single" w:sz="2" w:space="0" w:color="000000"/>
              <w:bottom w:val="single" w:sz="2" w:space="0" w:color="000000"/>
              <w:right w:val="single" w:sz="2" w:space="0" w:color="000000"/>
            </w:tcBorders>
          </w:tcPr>
          <w:p w14:paraId="17363B6A" w14:textId="77777777" w:rsidR="009A05BC" w:rsidRDefault="009A05BC" w:rsidP="007B4730">
            <w:pPr>
              <w:ind w:left="23"/>
              <w:jc w:val="center"/>
            </w:pPr>
          </w:p>
        </w:tc>
        <w:tc>
          <w:tcPr>
            <w:tcW w:w="303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69209EF" w14:textId="77777777" w:rsidR="009A05BC" w:rsidRDefault="009A05BC" w:rsidP="007B4730">
            <w:r>
              <w:rPr>
                <w:b/>
              </w:rPr>
              <w:t>„Akteure und Einstellungen in der Reformationszeit“</w:t>
            </w:r>
          </w:p>
        </w:tc>
        <w:tc>
          <w:tcPr>
            <w:tcW w:w="275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B93C0AE" w14:textId="77777777" w:rsidR="009A05BC" w:rsidRDefault="009A05BC" w:rsidP="007B4730">
            <w:r>
              <w:rPr>
                <w:b/>
              </w:rPr>
              <w:t>„Ergebnisse des konfessionellen Zeitalters“</w:t>
            </w:r>
          </w:p>
        </w:tc>
      </w:tr>
      <w:tr w:rsidR="009A05BC" w14:paraId="2AADBFB7" w14:textId="77777777" w:rsidTr="007B4730">
        <w:trPr>
          <w:trHeight w:val="650"/>
        </w:trPr>
        <w:tc>
          <w:tcPr>
            <w:tcW w:w="273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204CE1FB" w14:textId="77777777" w:rsidR="009A05BC" w:rsidRDefault="009A05BC" w:rsidP="007B4730">
            <w:pPr>
              <w:ind w:left="25"/>
              <w:jc w:val="center"/>
            </w:pPr>
            <w:r>
              <w:rPr>
                <w:b/>
              </w:rPr>
              <w:t>Link</w:t>
            </w:r>
          </w:p>
        </w:tc>
        <w:tc>
          <w:tcPr>
            <w:tcW w:w="3038" w:type="dxa"/>
            <w:tcBorders>
              <w:top w:val="single" w:sz="2" w:space="0" w:color="000000"/>
              <w:left w:val="single" w:sz="2" w:space="0" w:color="000000"/>
              <w:bottom w:val="single" w:sz="2" w:space="0" w:color="000000"/>
              <w:right w:val="single" w:sz="2" w:space="0" w:color="000000"/>
            </w:tcBorders>
          </w:tcPr>
          <w:p w14:paraId="40862ABB" w14:textId="77777777" w:rsidR="009A05BC" w:rsidRDefault="009A05BC" w:rsidP="007B4730">
            <w:pPr>
              <w:jc w:val="both"/>
            </w:pPr>
            <w:hyperlink r:id="rId5">
              <w:r>
                <w:rPr>
                  <w:color w:val="0563C1"/>
                  <w:u w:val="single" w:color="0563C1"/>
                </w:rPr>
                <w:t>http://LearningApps.org/watch?</w:t>
              </w:r>
            </w:hyperlink>
          </w:p>
          <w:p w14:paraId="76222BE3" w14:textId="77777777" w:rsidR="009A05BC" w:rsidRDefault="009A05BC" w:rsidP="007B4730">
            <w:hyperlink r:id="rId6">
              <w:r>
                <w:rPr>
                  <w:color w:val="0563C1"/>
                  <w:u w:val="single" w:color="0563C1"/>
                </w:rPr>
                <w:t>v=po76654xj17</w:t>
              </w:r>
            </w:hyperlink>
          </w:p>
        </w:tc>
        <w:tc>
          <w:tcPr>
            <w:tcW w:w="2758" w:type="dxa"/>
            <w:tcBorders>
              <w:top w:val="single" w:sz="2" w:space="0" w:color="000000"/>
              <w:left w:val="single" w:sz="2" w:space="0" w:color="000000"/>
              <w:bottom w:val="single" w:sz="2" w:space="0" w:color="000000"/>
              <w:right w:val="single" w:sz="2" w:space="0" w:color="000000"/>
            </w:tcBorders>
          </w:tcPr>
          <w:p w14:paraId="17FA8925" w14:textId="77777777" w:rsidR="009A05BC" w:rsidRDefault="009A05BC" w:rsidP="007B4730">
            <w:pPr>
              <w:jc w:val="both"/>
            </w:pPr>
            <w:hyperlink r:id="rId7">
              <w:r>
                <w:rPr>
                  <w:color w:val="0563C1"/>
                  <w:sz w:val="20"/>
                  <w:u w:val="single" w:color="0563C1"/>
                </w:rPr>
                <w:t>http://LearningApps.org/watch?</w:t>
              </w:r>
            </w:hyperlink>
          </w:p>
          <w:p w14:paraId="016C16A7" w14:textId="77777777" w:rsidR="009A05BC" w:rsidRDefault="009A05BC" w:rsidP="007B4730">
            <w:hyperlink r:id="rId8">
              <w:r>
                <w:rPr>
                  <w:color w:val="0563C1"/>
                  <w:sz w:val="20"/>
                  <w:u w:val="single" w:color="0563C1"/>
                </w:rPr>
                <w:t>v=p5sgdg9kj17</w:t>
              </w:r>
            </w:hyperlink>
            <w:hyperlink r:id="rId9">
              <w:r>
                <w:t xml:space="preserve"> </w:t>
              </w:r>
            </w:hyperlink>
          </w:p>
        </w:tc>
      </w:tr>
      <w:tr w:rsidR="009A05BC" w14:paraId="290A8E75" w14:textId="77777777" w:rsidTr="007B4730">
        <w:trPr>
          <w:trHeight w:val="1596"/>
        </w:trPr>
        <w:tc>
          <w:tcPr>
            <w:tcW w:w="273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66A0880D" w14:textId="77777777" w:rsidR="009A05BC" w:rsidRDefault="009A05BC" w:rsidP="007B4730">
            <w:pPr>
              <w:ind w:left="24"/>
              <w:jc w:val="center"/>
            </w:pPr>
            <w:r>
              <w:rPr>
                <w:b/>
              </w:rPr>
              <w:t>QR-Code</w:t>
            </w:r>
          </w:p>
        </w:tc>
        <w:tc>
          <w:tcPr>
            <w:tcW w:w="3038" w:type="dxa"/>
            <w:tcBorders>
              <w:top w:val="single" w:sz="2" w:space="0" w:color="000000"/>
              <w:left w:val="single" w:sz="2" w:space="0" w:color="000000"/>
              <w:bottom w:val="single" w:sz="2" w:space="0" w:color="000000"/>
              <w:right w:val="single" w:sz="2" w:space="0" w:color="000000"/>
            </w:tcBorders>
          </w:tcPr>
          <w:p w14:paraId="37904562" w14:textId="77777777" w:rsidR="009A05BC" w:rsidRDefault="009A05BC" w:rsidP="007B4730">
            <w:pPr>
              <w:ind w:left="848"/>
            </w:pPr>
            <w:r>
              <w:rPr>
                <w:noProof/>
              </w:rPr>
              <w:drawing>
                <wp:inline distT="0" distB="0" distL="0" distR="0" wp14:anchorId="0F363C83" wp14:editId="2EBC18AD">
                  <wp:extent cx="685800" cy="688848"/>
                  <wp:effectExtent l="0" t="0" r="0" b="0"/>
                  <wp:docPr id="2763" name="Picture 2763"/>
                  <wp:cNvGraphicFramePr/>
                  <a:graphic xmlns:a="http://schemas.openxmlformats.org/drawingml/2006/main">
                    <a:graphicData uri="http://schemas.openxmlformats.org/drawingml/2006/picture">
                      <pic:pic xmlns:pic="http://schemas.openxmlformats.org/drawingml/2006/picture">
                        <pic:nvPicPr>
                          <pic:cNvPr id="2763" name="Picture 2763"/>
                          <pic:cNvPicPr/>
                        </pic:nvPicPr>
                        <pic:blipFill>
                          <a:blip r:embed="rId10"/>
                          <a:stretch>
                            <a:fillRect/>
                          </a:stretch>
                        </pic:blipFill>
                        <pic:spPr>
                          <a:xfrm>
                            <a:off x="0" y="0"/>
                            <a:ext cx="685800" cy="688848"/>
                          </a:xfrm>
                          <a:prstGeom prst="rect">
                            <a:avLst/>
                          </a:prstGeom>
                        </pic:spPr>
                      </pic:pic>
                    </a:graphicData>
                  </a:graphic>
                </wp:inline>
              </w:drawing>
            </w:r>
          </w:p>
        </w:tc>
        <w:tc>
          <w:tcPr>
            <w:tcW w:w="2758" w:type="dxa"/>
            <w:tcBorders>
              <w:top w:val="single" w:sz="2" w:space="0" w:color="000000"/>
              <w:left w:val="single" w:sz="2" w:space="0" w:color="000000"/>
              <w:bottom w:val="single" w:sz="2" w:space="0" w:color="000000"/>
              <w:right w:val="single" w:sz="2" w:space="0" w:color="000000"/>
            </w:tcBorders>
          </w:tcPr>
          <w:p w14:paraId="34C29CEA" w14:textId="77777777" w:rsidR="009A05BC" w:rsidRDefault="009A05BC" w:rsidP="007B4730">
            <w:pPr>
              <w:ind w:left="612"/>
            </w:pPr>
            <w:r>
              <w:rPr>
                <w:noProof/>
              </w:rPr>
              <w:drawing>
                <wp:inline distT="0" distB="0" distL="0" distR="0" wp14:anchorId="010B6956" wp14:editId="2DD4BC78">
                  <wp:extent cx="783336" cy="667512"/>
                  <wp:effectExtent l="0" t="0" r="0" b="0"/>
                  <wp:docPr id="2764"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11"/>
                          <a:stretch>
                            <a:fillRect/>
                          </a:stretch>
                        </pic:blipFill>
                        <pic:spPr>
                          <a:xfrm>
                            <a:off x="0" y="0"/>
                            <a:ext cx="783336" cy="667512"/>
                          </a:xfrm>
                          <a:prstGeom prst="rect">
                            <a:avLst/>
                          </a:prstGeom>
                        </pic:spPr>
                      </pic:pic>
                    </a:graphicData>
                  </a:graphic>
                </wp:inline>
              </w:drawing>
            </w:r>
          </w:p>
        </w:tc>
      </w:tr>
    </w:tbl>
    <w:p w14:paraId="1507E2FE" w14:textId="77777777" w:rsidR="009A05BC" w:rsidRDefault="009A05BC" w:rsidP="009A05BC">
      <w:pPr>
        <w:spacing w:after="56"/>
        <w:ind w:left="720"/>
      </w:pPr>
      <w:r>
        <w:t xml:space="preserve"> </w:t>
      </w:r>
    </w:p>
    <w:p w14:paraId="6A9BDE7F" w14:textId="77777777" w:rsidR="009A05BC" w:rsidRDefault="009A05BC" w:rsidP="009A05BC">
      <w:pPr>
        <w:spacing w:after="231" w:line="240" w:lineRule="auto"/>
        <w:ind w:left="-5" w:hanging="10"/>
      </w:pPr>
      <w:r>
        <w:rPr>
          <w:sz w:val="20"/>
        </w:rPr>
        <w:t xml:space="preserve"> </w:t>
      </w:r>
    </w:p>
    <w:p w14:paraId="78B39F20" w14:textId="77777777" w:rsidR="002F726A" w:rsidRDefault="009A12E8"/>
    <w:p w14:paraId="1DEC8B88" w14:textId="77777777" w:rsidR="009A05BC" w:rsidRDefault="009A05BC"/>
    <w:p w14:paraId="16B1B275" w14:textId="77777777" w:rsidR="009A05BC" w:rsidRDefault="009A05BC"/>
    <w:p w14:paraId="3A17E202" w14:textId="77777777" w:rsidR="009A05BC" w:rsidRDefault="009A05BC"/>
    <w:p w14:paraId="414646B6" w14:textId="77777777" w:rsidR="009A05BC" w:rsidRDefault="009A05BC"/>
    <w:p w14:paraId="401381BE" w14:textId="77777777" w:rsidR="009A05BC" w:rsidRDefault="009A05BC"/>
    <w:p w14:paraId="476536C1" w14:textId="77777777" w:rsidR="009A05BC" w:rsidRDefault="009A05BC"/>
    <w:p w14:paraId="10F27710" w14:textId="77777777" w:rsidR="009A05BC" w:rsidRDefault="009A05BC"/>
    <w:p w14:paraId="40CE5856" w14:textId="77777777" w:rsidR="009A05BC" w:rsidRDefault="009A05BC"/>
    <w:p w14:paraId="471FA592" w14:textId="77777777" w:rsidR="009A05BC" w:rsidRPr="009A05BC" w:rsidRDefault="009A05BC" w:rsidP="009A05BC">
      <w:pPr>
        <w:pStyle w:val="berschrift1"/>
        <w:spacing w:after="278"/>
        <w:rPr>
          <w:i/>
        </w:rPr>
      </w:pPr>
      <w:r w:rsidRPr="009A05BC">
        <w:rPr>
          <w:color w:val="FF0000"/>
        </w:rPr>
        <w:t>Erwartungshorizont</w:t>
      </w:r>
      <w:r>
        <w:br/>
      </w:r>
      <w:r>
        <w:rPr>
          <w:i/>
        </w:rPr>
        <w:t>Ereignisse des konfessionellen Zeitalters (Gruppe B)</w:t>
      </w:r>
    </w:p>
    <w:p w14:paraId="241FB313" w14:textId="77777777" w:rsidR="009A05BC" w:rsidRPr="006C7278" w:rsidRDefault="009A05BC" w:rsidP="009A05BC">
      <w:pPr>
        <w:spacing w:after="202" w:line="250" w:lineRule="auto"/>
        <w:ind w:left="-15" w:firstLine="22"/>
        <w:rPr>
          <w:rFonts w:ascii="Arial" w:hAnsi="Arial" w:cs="Arial"/>
          <w:i/>
          <w:u w:val="single"/>
        </w:rPr>
      </w:pPr>
      <w:r w:rsidRPr="006C7278">
        <w:rPr>
          <w:rFonts w:ascii="Arial" w:hAnsi="Arial" w:cs="Arial"/>
          <w:i/>
          <w:u w:val="single"/>
        </w:rPr>
        <w:t>Aufgaben:</w:t>
      </w:r>
    </w:p>
    <w:p w14:paraId="6F259BFE" w14:textId="77777777" w:rsidR="009A05BC" w:rsidRDefault="009A05BC" w:rsidP="009A05BC">
      <w:pPr>
        <w:pStyle w:val="Listenabsatz"/>
        <w:numPr>
          <w:ilvl w:val="0"/>
          <w:numId w:val="2"/>
        </w:numPr>
        <w:spacing w:after="0"/>
        <w:jc w:val="both"/>
        <w:rPr>
          <w:rFonts w:ascii="Arial" w:hAnsi="Arial" w:cs="Arial"/>
          <w:i/>
        </w:rPr>
      </w:pPr>
      <w:r w:rsidRPr="00A070C0">
        <w:rPr>
          <w:rFonts w:ascii="Arial" w:hAnsi="Arial" w:cs="Arial"/>
          <w:i/>
        </w:rPr>
        <w:t xml:space="preserve">Höre dir das Experteninterview mit Friedrich </w:t>
      </w:r>
      <w:proofErr w:type="spellStart"/>
      <w:r w:rsidRPr="00A070C0">
        <w:rPr>
          <w:rFonts w:ascii="Arial" w:hAnsi="Arial" w:cs="Arial"/>
          <w:i/>
        </w:rPr>
        <w:t>Quaasdorf</w:t>
      </w:r>
      <w:proofErr w:type="spellEnd"/>
      <w:r w:rsidRPr="00A070C0">
        <w:rPr>
          <w:rFonts w:ascii="Arial" w:hAnsi="Arial" w:cs="Arial"/>
          <w:i/>
        </w:rPr>
        <w:t xml:space="preserve"> von der Universität Leipzig zur Reformationszeit an. </w:t>
      </w:r>
    </w:p>
    <w:p w14:paraId="10DE530A" w14:textId="77777777" w:rsidR="009A05BC" w:rsidRDefault="009A05BC" w:rsidP="009A05BC">
      <w:pPr>
        <w:pStyle w:val="Listenabsatz"/>
        <w:numPr>
          <w:ilvl w:val="0"/>
          <w:numId w:val="2"/>
        </w:numPr>
        <w:spacing w:after="0"/>
        <w:jc w:val="both"/>
        <w:rPr>
          <w:rFonts w:ascii="Arial" w:hAnsi="Arial" w:cs="Arial"/>
          <w:i/>
        </w:rPr>
      </w:pPr>
      <w:r w:rsidRPr="00A070C0">
        <w:rPr>
          <w:rFonts w:ascii="Arial" w:hAnsi="Arial" w:cs="Arial"/>
          <w:i/>
        </w:rPr>
        <w:t>Erkläre anschließend die Begriffe „Reformation“ und „Ablasshandel“ in eigenen Worten.</w:t>
      </w:r>
    </w:p>
    <w:p w14:paraId="3C247289" w14:textId="77777777" w:rsidR="009A05BC" w:rsidRPr="00A070C0" w:rsidRDefault="009A05BC" w:rsidP="009A05BC">
      <w:pPr>
        <w:pStyle w:val="Listenabsatz"/>
        <w:spacing w:after="0"/>
        <w:ind w:left="1065"/>
        <w:jc w:val="both"/>
        <w:rPr>
          <w:rFonts w:ascii="Arial" w:hAnsi="Arial" w:cs="Arial"/>
          <w:i/>
        </w:rPr>
      </w:pPr>
    </w:p>
    <w:p w14:paraId="5D4ACBAF" w14:textId="77777777" w:rsidR="009A05BC" w:rsidRDefault="009A05BC" w:rsidP="009A05BC">
      <w:pPr>
        <w:spacing w:after="24" w:line="253" w:lineRule="auto"/>
        <w:ind w:left="-10" w:firstLine="688"/>
      </w:pPr>
      <w:r>
        <w:rPr>
          <w:b/>
          <w:sz w:val="24"/>
        </w:rPr>
        <w:t>Reformation =</w:t>
      </w:r>
    </w:p>
    <w:p w14:paraId="1974D138" w14:textId="77777777" w:rsidR="009A05BC" w:rsidRDefault="009A05BC" w:rsidP="009A05BC">
      <w:pPr>
        <w:spacing w:after="0"/>
        <w:ind w:left="688" w:right="-7" w:hanging="10"/>
        <w:jc w:val="both"/>
        <w:rPr>
          <w:b/>
          <w:sz w:val="24"/>
        </w:rPr>
      </w:pPr>
      <w:r>
        <w:rPr>
          <w:color w:val="FF0000"/>
          <w:sz w:val="24"/>
        </w:rPr>
        <w:t xml:space="preserve">Es handelt sich bei der Reformation um die Spaltung der christlichen Kirche in den katholischen, die </w:t>
      </w:r>
      <w:proofErr w:type="spellStart"/>
      <w:r>
        <w:rPr>
          <w:color w:val="FF0000"/>
          <w:sz w:val="24"/>
        </w:rPr>
        <w:t>altgläubigen</w:t>
      </w:r>
      <w:proofErr w:type="spellEnd"/>
      <w:r>
        <w:rPr>
          <w:color w:val="FF0000"/>
          <w:sz w:val="24"/>
        </w:rPr>
        <w:t>, und in die neugläubigen Protestanten. Es ging bei der Reformation vor allem um die Frage, wie der christliche Glaube eigentlich ausgelebt werden soll und die Rückkehr zur schriftlichen Auslegung.</w:t>
      </w:r>
      <w:r>
        <w:rPr>
          <w:b/>
          <w:sz w:val="28"/>
        </w:rPr>
        <w:br/>
      </w:r>
    </w:p>
    <w:p w14:paraId="318B0040" w14:textId="77777777" w:rsidR="009A05BC" w:rsidRDefault="009A05BC" w:rsidP="009A05BC">
      <w:pPr>
        <w:spacing w:after="0"/>
        <w:ind w:left="688" w:right="-7" w:hanging="10"/>
        <w:jc w:val="both"/>
        <w:rPr>
          <w:b/>
          <w:sz w:val="24"/>
        </w:rPr>
      </w:pPr>
      <w:r>
        <w:rPr>
          <w:b/>
          <w:sz w:val="24"/>
        </w:rPr>
        <w:t>Ablasshandel =</w:t>
      </w:r>
    </w:p>
    <w:p w14:paraId="3C9565DA" w14:textId="77777777" w:rsidR="009A05BC" w:rsidRDefault="009A05BC" w:rsidP="009A05BC">
      <w:pPr>
        <w:spacing w:after="365" w:line="240" w:lineRule="auto"/>
        <w:ind w:left="682" w:right="147" w:hanging="11"/>
        <w:jc w:val="both"/>
        <w:rPr>
          <w:color w:val="FF0000"/>
          <w:sz w:val="24"/>
        </w:rPr>
      </w:pPr>
      <w:r>
        <w:rPr>
          <w:color w:val="FF0000"/>
          <w:sz w:val="24"/>
        </w:rPr>
        <w:t>Der Ablasshandel war eine finanzielle Sache, bei der die katholische Kirche Geld für Ablassbriefe genommen hat, um sich selbst aus dem Fegefeuer zu kaufen oder verstorbene Familienangehörige. Die Katholische Kirche verlangt für die Vergebung der Sünden Geld.</w:t>
      </w:r>
    </w:p>
    <w:p w14:paraId="4A71246D" w14:textId="77777777" w:rsidR="009A05BC" w:rsidRDefault="00174174" w:rsidP="00174174">
      <w:pPr>
        <w:pStyle w:val="Listenabsatz"/>
        <w:numPr>
          <w:ilvl w:val="0"/>
          <w:numId w:val="2"/>
        </w:numPr>
        <w:spacing w:after="0"/>
        <w:jc w:val="both"/>
        <w:rPr>
          <w:rFonts w:ascii="Arial" w:hAnsi="Arial" w:cs="Arial"/>
          <w:i/>
        </w:rPr>
      </w:pPr>
      <w:r w:rsidRPr="00174174">
        <w:rPr>
          <w:rFonts w:ascii="Arial" w:hAnsi="Arial" w:cs="Arial"/>
          <w:i/>
        </w:rPr>
        <w:t>Erkläre in eigenen Worten das Zustandekommen des Bauernkrieges von 1524-25.</w:t>
      </w:r>
    </w:p>
    <w:p w14:paraId="718F4755" w14:textId="77777777" w:rsidR="00174174" w:rsidRPr="00174174" w:rsidRDefault="00174174" w:rsidP="00174174">
      <w:pPr>
        <w:pStyle w:val="Listenabsatz"/>
        <w:spacing w:after="0"/>
        <w:ind w:left="1065"/>
        <w:jc w:val="both"/>
        <w:rPr>
          <w:rFonts w:ascii="Arial" w:hAnsi="Arial" w:cs="Arial"/>
          <w:i/>
        </w:rPr>
      </w:pPr>
    </w:p>
    <w:p w14:paraId="20B06AA3" w14:textId="77777777" w:rsidR="00174174" w:rsidRDefault="00174174" w:rsidP="00174174">
      <w:pPr>
        <w:spacing w:after="342" w:line="339" w:lineRule="auto"/>
        <w:ind w:left="705"/>
        <w:jc w:val="both"/>
      </w:pPr>
      <w:r>
        <w:rPr>
          <w:color w:val="FF0000"/>
          <w:sz w:val="24"/>
        </w:rPr>
        <w:t>Wei</w:t>
      </w:r>
      <w:r>
        <w:rPr>
          <w:color w:val="FF0000"/>
          <w:sz w:val="24"/>
        </w:rPr>
        <w:t xml:space="preserve">l die 95 Thesen Martin Luthers </w:t>
      </w:r>
      <w:r>
        <w:rPr>
          <w:color w:val="FF0000"/>
          <w:sz w:val="24"/>
        </w:rPr>
        <w:t>ins Deutsche übersetzt wurden, führt das dann dazu, dass auch die bäuerlichen Schichten davon „Wind bekommen“ und das auf ihre eigene Art und Weise interpretierten. Indem sie sagen: „In der Bibel steht nichts von Leibeigenschaften oder Frondiensten, also gibt es auch keine Rechtfertigung der Herren denen wir Bauern dienen.“ Aus diesem Grund kommt es dann zum Bauernkrieg als erste militärische Auseinandersetzung, zwischen den Bauern und den Landesherren</w:t>
      </w:r>
      <w:r w:rsidR="009A12E8">
        <w:rPr>
          <w:color w:val="FF0000"/>
          <w:sz w:val="24"/>
        </w:rPr>
        <w:t>.</w:t>
      </w:r>
    </w:p>
    <w:p w14:paraId="2AF7B247" w14:textId="77777777" w:rsidR="009A05BC" w:rsidRDefault="009A05BC" w:rsidP="009A05BC">
      <w:pPr>
        <w:spacing w:after="365" w:line="240" w:lineRule="auto"/>
        <w:ind w:left="682" w:right="147" w:hanging="11"/>
        <w:jc w:val="both"/>
        <w:rPr>
          <w:color w:val="FF0000"/>
          <w:sz w:val="24"/>
        </w:rPr>
      </w:pPr>
    </w:p>
    <w:p w14:paraId="7B7F1712" w14:textId="77777777" w:rsidR="009A05BC" w:rsidRDefault="009A05BC" w:rsidP="009A05BC">
      <w:pPr>
        <w:spacing w:after="365" w:line="240" w:lineRule="auto"/>
        <w:ind w:left="682" w:right="147" w:hanging="11"/>
        <w:jc w:val="both"/>
        <w:rPr>
          <w:color w:val="FF0000"/>
          <w:sz w:val="24"/>
        </w:rPr>
      </w:pPr>
    </w:p>
    <w:p w14:paraId="55A5001A" w14:textId="77777777" w:rsidR="009A05BC" w:rsidRDefault="009A05BC" w:rsidP="009A05BC">
      <w:pPr>
        <w:spacing w:after="365" w:line="240" w:lineRule="auto"/>
        <w:ind w:left="682" w:right="147" w:hanging="11"/>
        <w:jc w:val="both"/>
        <w:rPr>
          <w:color w:val="FF0000"/>
          <w:sz w:val="24"/>
        </w:rPr>
      </w:pPr>
    </w:p>
    <w:p w14:paraId="3601DB4F" w14:textId="77777777" w:rsidR="009A05BC" w:rsidRDefault="009A05BC" w:rsidP="009A05BC">
      <w:pPr>
        <w:spacing w:after="365" w:line="240" w:lineRule="auto"/>
        <w:ind w:left="682" w:right="147" w:hanging="11"/>
        <w:jc w:val="both"/>
        <w:rPr>
          <w:color w:val="FF0000"/>
          <w:sz w:val="24"/>
        </w:rPr>
      </w:pPr>
    </w:p>
    <w:p w14:paraId="004734D4" w14:textId="77777777" w:rsidR="009A05BC" w:rsidRDefault="009A05BC" w:rsidP="009A05BC">
      <w:pPr>
        <w:spacing w:after="365" w:line="240" w:lineRule="auto"/>
        <w:ind w:left="682" w:right="147" w:hanging="11"/>
        <w:jc w:val="both"/>
        <w:rPr>
          <w:color w:val="FF0000"/>
          <w:sz w:val="24"/>
        </w:rPr>
      </w:pPr>
    </w:p>
    <w:p w14:paraId="46C2554C" w14:textId="77777777" w:rsidR="009A05BC" w:rsidRDefault="009A12E8" w:rsidP="009A12E8">
      <w:pPr>
        <w:pStyle w:val="Listenabsatz"/>
        <w:numPr>
          <w:ilvl w:val="0"/>
          <w:numId w:val="2"/>
        </w:numPr>
        <w:spacing w:after="0"/>
        <w:jc w:val="both"/>
        <w:rPr>
          <w:rFonts w:ascii="Arial" w:hAnsi="Arial" w:cs="Arial"/>
          <w:i/>
        </w:rPr>
      </w:pPr>
      <w:r w:rsidRPr="009A12E8">
        <w:rPr>
          <w:rFonts w:ascii="Arial" w:hAnsi="Arial" w:cs="Arial"/>
          <w:i/>
        </w:rPr>
        <w:t>Vervollständige die Tabelle zu Ereignissen der Reformationszeit.</w:t>
      </w:r>
    </w:p>
    <w:p w14:paraId="284F2BDD" w14:textId="77777777" w:rsidR="009A12E8" w:rsidRPr="009A12E8" w:rsidRDefault="009A12E8" w:rsidP="009A12E8">
      <w:pPr>
        <w:pStyle w:val="Listenabsatz"/>
        <w:spacing w:after="0"/>
        <w:ind w:left="1065"/>
        <w:jc w:val="both"/>
        <w:rPr>
          <w:rFonts w:ascii="Arial" w:hAnsi="Arial" w:cs="Arial"/>
          <w:i/>
        </w:rPr>
      </w:pPr>
      <w:bookmarkStart w:id="0" w:name="_GoBack"/>
      <w:bookmarkEnd w:id="0"/>
    </w:p>
    <w:tbl>
      <w:tblPr>
        <w:tblStyle w:val="Tabellenraster"/>
        <w:tblW w:w="0" w:type="auto"/>
        <w:tblInd w:w="-3" w:type="dxa"/>
        <w:tblLook w:val="04A0" w:firstRow="1" w:lastRow="0" w:firstColumn="1" w:lastColumn="0" w:noHBand="0" w:noVBand="1"/>
      </w:tblPr>
      <w:tblGrid>
        <w:gridCol w:w="1405"/>
        <w:gridCol w:w="2329"/>
        <w:gridCol w:w="5325"/>
      </w:tblGrid>
      <w:tr w:rsidR="009A05BC" w14:paraId="49BF3C07" w14:textId="77777777" w:rsidTr="00174174">
        <w:tc>
          <w:tcPr>
            <w:tcW w:w="1405" w:type="dxa"/>
            <w:shd w:val="clear" w:color="auto" w:fill="D9D9D9" w:themeFill="background1" w:themeFillShade="D9"/>
          </w:tcPr>
          <w:p w14:paraId="00528AB1" w14:textId="77777777" w:rsidR="009A05BC" w:rsidRPr="00900556" w:rsidRDefault="009A05BC" w:rsidP="007B4730">
            <w:pPr>
              <w:pStyle w:val="Listenabsatz"/>
              <w:spacing w:after="0"/>
              <w:ind w:left="0"/>
              <w:rPr>
                <w:rFonts w:ascii="Arial" w:hAnsi="Arial" w:cs="Arial"/>
                <w:b/>
                <w:i/>
              </w:rPr>
            </w:pPr>
            <w:r w:rsidRPr="00900556">
              <w:rPr>
                <w:rFonts w:ascii="Arial" w:hAnsi="Arial" w:cs="Arial"/>
                <w:b/>
                <w:i/>
              </w:rPr>
              <w:t>Jahreszahl</w:t>
            </w:r>
          </w:p>
        </w:tc>
        <w:tc>
          <w:tcPr>
            <w:tcW w:w="2329" w:type="dxa"/>
            <w:shd w:val="clear" w:color="auto" w:fill="D9D9D9" w:themeFill="background1" w:themeFillShade="D9"/>
          </w:tcPr>
          <w:p w14:paraId="799F4DC3" w14:textId="77777777" w:rsidR="009A05BC" w:rsidRPr="00900556" w:rsidRDefault="009A05BC" w:rsidP="007B4730">
            <w:pPr>
              <w:pStyle w:val="Listenabsatz"/>
              <w:spacing w:after="0"/>
              <w:ind w:left="0"/>
              <w:rPr>
                <w:rFonts w:ascii="Arial" w:hAnsi="Arial" w:cs="Arial"/>
                <w:b/>
                <w:i/>
              </w:rPr>
            </w:pPr>
            <w:r w:rsidRPr="00900556">
              <w:rPr>
                <w:rFonts w:ascii="Arial" w:hAnsi="Arial" w:cs="Arial"/>
                <w:b/>
                <w:i/>
              </w:rPr>
              <w:t>Ereignis</w:t>
            </w:r>
          </w:p>
        </w:tc>
        <w:tc>
          <w:tcPr>
            <w:tcW w:w="5325" w:type="dxa"/>
            <w:shd w:val="clear" w:color="auto" w:fill="D9D9D9" w:themeFill="background1" w:themeFillShade="D9"/>
          </w:tcPr>
          <w:p w14:paraId="6F772B26" w14:textId="77777777" w:rsidR="009A05BC" w:rsidRPr="00900556" w:rsidRDefault="009A05BC" w:rsidP="007B4730">
            <w:pPr>
              <w:pStyle w:val="Listenabsatz"/>
              <w:ind w:left="0"/>
              <w:rPr>
                <w:rFonts w:ascii="Arial" w:hAnsi="Arial" w:cs="Arial"/>
                <w:b/>
                <w:i/>
              </w:rPr>
            </w:pPr>
            <w:r w:rsidRPr="00900556">
              <w:rPr>
                <w:rFonts w:ascii="Arial" w:hAnsi="Arial" w:cs="Arial"/>
                <w:b/>
                <w:i/>
              </w:rPr>
              <w:t>Erläuterung zum historischen Ereignis</w:t>
            </w:r>
          </w:p>
        </w:tc>
      </w:tr>
      <w:tr w:rsidR="009A05BC" w14:paraId="48DCBC37" w14:textId="77777777" w:rsidTr="00174174">
        <w:tc>
          <w:tcPr>
            <w:tcW w:w="1405" w:type="dxa"/>
          </w:tcPr>
          <w:p w14:paraId="486EAFAF" w14:textId="77777777" w:rsidR="009A05BC" w:rsidRDefault="009A05BC" w:rsidP="007B4730">
            <w:pPr>
              <w:pStyle w:val="Listenabsatz"/>
              <w:ind w:left="0"/>
              <w:rPr>
                <w:rFonts w:ascii="Arial" w:hAnsi="Arial" w:cs="Arial"/>
                <w:i/>
              </w:rPr>
            </w:pPr>
          </w:p>
          <w:p w14:paraId="5956AFEE" w14:textId="77777777" w:rsidR="009A05BC" w:rsidRDefault="009A05BC" w:rsidP="007B4730">
            <w:pPr>
              <w:pStyle w:val="Listenabsatz"/>
              <w:ind w:left="0"/>
              <w:rPr>
                <w:rFonts w:ascii="Arial" w:hAnsi="Arial" w:cs="Arial"/>
                <w:i/>
              </w:rPr>
            </w:pPr>
            <w:r>
              <w:rPr>
                <w:rFonts w:ascii="Arial" w:hAnsi="Arial" w:cs="Arial"/>
                <w:i/>
              </w:rPr>
              <w:t>1517</w:t>
            </w:r>
          </w:p>
          <w:p w14:paraId="6DA811C1" w14:textId="77777777" w:rsidR="009A05BC" w:rsidRDefault="009A05BC" w:rsidP="007B4730">
            <w:pPr>
              <w:pStyle w:val="Listenabsatz"/>
              <w:ind w:left="0"/>
              <w:rPr>
                <w:rFonts w:ascii="Arial" w:hAnsi="Arial" w:cs="Arial"/>
                <w:i/>
              </w:rPr>
            </w:pPr>
          </w:p>
          <w:p w14:paraId="63BE0036" w14:textId="77777777" w:rsidR="009A05BC" w:rsidRDefault="009A05BC" w:rsidP="007B4730">
            <w:pPr>
              <w:pStyle w:val="Listenabsatz"/>
              <w:spacing w:after="0"/>
              <w:ind w:left="0"/>
              <w:rPr>
                <w:rFonts w:ascii="Arial" w:hAnsi="Arial" w:cs="Arial"/>
                <w:i/>
              </w:rPr>
            </w:pPr>
          </w:p>
        </w:tc>
        <w:tc>
          <w:tcPr>
            <w:tcW w:w="2329" w:type="dxa"/>
          </w:tcPr>
          <w:p w14:paraId="0B1B156D" w14:textId="77777777" w:rsidR="009A05BC" w:rsidRPr="009A05BC" w:rsidRDefault="009A05BC" w:rsidP="007B4730">
            <w:pPr>
              <w:pStyle w:val="Listenabsatz"/>
              <w:spacing w:after="0"/>
              <w:ind w:left="0"/>
              <w:rPr>
                <w:rFonts w:ascii="Arial" w:hAnsi="Arial" w:cs="Arial"/>
                <w:i/>
                <w:color w:val="FF0000"/>
              </w:rPr>
            </w:pPr>
          </w:p>
          <w:p w14:paraId="2911A91A" w14:textId="77777777" w:rsidR="009A05BC" w:rsidRPr="009A05BC" w:rsidRDefault="009A05BC" w:rsidP="007B4730">
            <w:pPr>
              <w:pStyle w:val="Listenabsatz"/>
              <w:spacing w:after="0"/>
              <w:ind w:left="0"/>
              <w:rPr>
                <w:rFonts w:ascii="Arial" w:hAnsi="Arial" w:cs="Arial"/>
                <w:i/>
                <w:color w:val="FF0000"/>
              </w:rPr>
            </w:pPr>
            <w:r w:rsidRPr="009A05BC">
              <w:rPr>
                <w:rFonts w:ascii="Arial" w:hAnsi="Arial" w:cs="Arial"/>
                <w:i/>
                <w:color w:val="FF0000"/>
              </w:rPr>
              <w:t>Thesenanschlag Luthers</w:t>
            </w:r>
          </w:p>
        </w:tc>
        <w:tc>
          <w:tcPr>
            <w:tcW w:w="5325" w:type="dxa"/>
          </w:tcPr>
          <w:p w14:paraId="25910E42" w14:textId="77777777" w:rsidR="009A05BC" w:rsidRPr="009A05BC" w:rsidRDefault="009A05BC" w:rsidP="009A05BC">
            <w:pPr>
              <w:spacing w:after="0" w:line="265" w:lineRule="auto"/>
              <w:ind w:left="10" w:right="107" w:hanging="10"/>
            </w:pPr>
            <w:r>
              <w:rPr>
                <w:color w:val="FF0000"/>
              </w:rPr>
              <w:t>Der bisher relativ unbekannte Luther war über den Thesenan</w:t>
            </w:r>
            <w:r>
              <w:rPr>
                <w:color w:val="FF0000"/>
              </w:rPr>
              <w:t xml:space="preserve">schlag </w:t>
            </w:r>
            <w:r>
              <w:rPr>
                <w:color w:val="FF0000"/>
              </w:rPr>
              <w:t>Ablassverkauf derart erzürnt, dass er 95 Thesen aufsetzte, in denen er gegen den Verkauf von Ablässen wie auch gegen die Ablassverkäufer argumentierte.</w:t>
            </w:r>
          </w:p>
        </w:tc>
      </w:tr>
      <w:tr w:rsidR="009A05BC" w14:paraId="1DDB3414" w14:textId="77777777" w:rsidTr="00174174">
        <w:tc>
          <w:tcPr>
            <w:tcW w:w="1405" w:type="dxa"/>
          </w:tcPr>
          <w:p w14:paraId="572D5356" w14:textId="77777777" w:rsidR="009A05BC" w:rsidRDefault="009A05BC" w:rsidP="007B4730">
            <w:pPr>
              <w:pStyle w:val="Listenabsatz"/>
              <w:ind w:left="0"/>
              <w:rPr>
                <w:rFonts w:ascii="Arial" w:hAnsi="Arial" w:cs="Arial"/>
                <w:i/>
              </w:rPr>
            </w:pPr>
          </w:p>
          <w:p w14:paraId="00E2DD6B" w14:textId="77777777" w:rsidR="009A05BC" w:rsidRDefault="00174174" w:rsidP="007B4730">
            <w:pPr>
              <w:pStyle w:val="Listenabsatz"/>
              <w:ind w:left="0"/>
              <w:rPr>
                <w:rFonts w:ascii="Arial" w:hAnsi="Arial" w:cs="Arial"/>
                <w:i/>
              </w:rPr>
            </w:pPr>
            <w:r>
              <w:rPr>
                <w:rFonts w:ascii="Arial" w:hAnsi="Arial" w:cs="Arial"/>
                <w:i/>
              </w:rPr>
              <w:t>1524-25</w:t>
            </w:r>
          </w:p>
          <w:p w14:paraId="1A54F6D0" w14:textId="77777777" w:rsidR="009A05BC" w:rsidRDefault="009A05BC" w:rsidP="007B4730">
            <w:pPr>
              <w:pStyle w:val="Listenabsatz"/>
              <w:spacing w:after="0"/>
              <w:ind w:left="0"/>
              <w:rPr>
                <w:rFonts w:ascii="Arial" w:hAnsi="Arial" w:cs="Arial"/>
                <w:i/>
              </w:rPr>
            </w:pPr>
          </w:p>
        </w:tc>
        <w:tc>
          <w:tcPr>
            <w:tcW w:w="2329" w:type="dxa"/>
          </w:tcPr>
          <w:p w14:paraId="488D5218" w14:textId="77777777" w:rsidR="009A05BC" w:rsidRDefault="009A05BC" w:rsidP="007B4730">
            <w:pPr>
              <w:pStyle w:val="Listenabsatz"/>
              <w:ind w:left="0"/>
              <w:rPr>
                <w:rFonts w:ascii="Arial" w:hAnsi="Arial" w:cs="Arial"/>
                <w:i/>
              </w:rPr>
            </w:pPr>
          </w:p>
          <w:p w14:paraId="70934177" w14:textId="77777777" w:rsidR="009A05BC" w:rsidRDefault="009A05BC" w:rsidP="007B4730">
            <w:pPr>
              <w:pStyle w:val="Listenabsatz"/>
              <w:ind w:left="0"/>
              <w:rPr>
                <w:rFonts w:ascii="Arial" w:hAnsi="Arial" w:cs="Arial"/>
                <w:i/>
              </w:rPr>
            </w:pPr>
            <w:r>
              <w:rPr>
                <w:rFonts w:ascii="Arial" w:hAnsi="Arial" w:cs="Arial"/>
                <w:i/>
              </w:rPr>
              <w:t>Bauernkrieg</w:t>
            </w:r>
          </w:p>
        </w:tc>
        <w:tc>
          <w:tcPr>
            <w:tcW w:w="5325" w:type="dxa"/>
          </w:tcPr>
          <w:p w14:paraId="5C435330" w14:textId="77777777" w:rsidR="009A05BC" w:rsidRPr="009A05BC" w:rsidRDefault="009A05BC" w:rsidP="009A05BC">
            <w:pPr>
              <w:spacing w:after="0" w:line="265" w:lineRule="auto"/>
              <w:ind w:right="107"/>
            </w:pPr>
            <w:r>
              <w:rPr>
                <w:color w:val="FF0000"/>
              </w:rPr>
              <w:t>Die erste militärische Auseinandersetzung zwischen den Bauern und den Landesherren, die allerdings schnell niedergeschlagen werden konnte, da die Bauern natürlich schlechter militarisiert waren als die Soldaten</w:t>
            </w:r>
          </w:p>
        </w:tc>
      </w:tr>
      <w:tr w:rsidR="009A05BC" w14:paraId="718CC24D" w14:textId="77777777" w:rsidTr="00174174">
        <w:trPr>
          <w:trHeight w:val="781"/>
        </w:trPr>
        <w:tc>
          <w:tcPr>
            <w:tcW w:w="1405" w:type="dxa"/>
          </w:tcPr>
          <w:p w14:paraId="7D699C5C" w14:textId="77777777" w:rsidR="009A05BC" w:rsidRDefault="009A05BC" w:rsidP="007B4730">
            <w:pPr>
              <w:pStyle w:val="Listenabsatz"/>
              <w:ind w:left="0"/>
              <w:rPr>
                <w:rFonts w:ascii="Arial" w:hAnsi="Arial" w:cs="Arial"/>
                <w:i/>
              </w:rPr>
            </w:pPr>
          </w:p>
          <w:p w14:paraId="57A05EFF" w14:textId="77777777" w:rsidR="009A05BC" w:rsidRDefault="009A05BC" w:rsidP="007B4730">
            <w:pPr>
              <w:pStyle w:val="Listenabsatz"/>
              <w:ind w:left="0"/>
              <w:rPr>
                <w:rFonts w:ascii="Arial" w:hAnsi="Arial" w:cs="Arial"/>
                <w:i/>
              </w:rPr>
            </w:pPr>
            <w:r>
              <w:rPr>
                <w:rFonts w:ascii="Arial" w:hAnsi="Arial" w:cs="Arial"/>
                <w:i/>
              </w:rPr>
              <w:t>1530</w:t>
            </w:r>
          </w:p>
          <w:p w14:paraId="3E6933EE" w14:textId="77777777" w:rsidR="009A05BC" w:rsidRDefault="009A05BC" w:rsidP="007B4730">
            <w:pPr>
              <w:pStyle w:val="Listenabsatz"/>
              <w:ind w:left="0"/>
              <w:rPr>
                <w:rFonts w:ascii="Arial" w:hAnsi="Arial" w:cs="Arial"/>
                <w:i/>
              </w:rPr>
            </w:pPr>
          </w:p>
          <w:p w14:paraId="64F9FC63" w14:textId="77777777" w:rsidR="009A05BC" w:rsidRDefault="009A05BC" w:rsidP="007B4730">
            <w:pPr>
              <w:pStyle w:val="Listenabsatz"/>
              <w:spacing w:after="0"/>
              <w:ind w:left="0"/>
              <w:rPr>
                <w:rFonts w:ascii="Arial" w:hAnsi="Arial" w:cs="Arial"/>
                <w:i/>
              </w:rPr>
            </w:pPr>
          </w:p>
        </w:tc>
        <w:tc>
          <w:tcPr>
            <w:tcW w:w="2329" w:type="dxa"/>
          </w:tcPr>
          <w:p w14:paraId="65545461" w14:textId="77777777" w:rsidR="009A05BC" w:rsidRDefault="009A05BC" w:rsidP="007B4730">
            <w:pPr>
              <w:pStyle w:val="Listenabsatz"/>
              <w:spacing w:after="0"/>
              <w:ind w:left="0"/>
              <w:rPr>
                <w:rFonts w:ascii="Arial" w:hAnsi="Arial" w:cs="Arial"/>
                <w:i/>
              </w:rPr>
            </w:pPr>
          </w:p>
          <w:p w14:paraId="6F35F516" w14:textId="77777777" w:rsidR="009A05BC" w:rsidRDefault="009A05BC" w:rsidP="009A05BC">
            <w:pPr>
              <w:pStyle w:val="Listenabsatz"/>
              <w:spacing w:after="0"/>
              <w:ind w:left="0"/>
              <w:rPr>
                <w:rFonts w:ascii="Arial" w:hAnsi="Arial" w:cs="Arial"/>
                <w:i/>
              </w:rPr>
            </w:pPr>
            <w:proofErr w:type="spellStart"/>
            <w:r>
              <w:rPr>
                <w:color w:val="FF0000"/>
              </w:rPr>
              <w:t>Confessio</w:t>
            </w:r>
            <w:proofErr w:type="spellEnd"/>
            <w:r>
              <w:rPr>
                <w:color w:val="FF0000"/>
              </w:rPr>
              <w:t xml:space="preserve"> </w:t>
            </w:r>
            <w:proofErr w:type="spellStart"/>
            <w:r>
              <w:rPr>
                <w:color w:val="FF0000"/>
              </w:rPr>
              <w:t>Augustana</w:t>
            </w:r>
            <w:proofErr w:type="spellEnd"/>
          </w:p>
        </w:tc>
        <w:tc>
          <w:tcPr>
            <w:tcW w:w="5325" w:type="dxa"/>
          </w:tcPr>
          <w:p w14:paraId="040843C2" w14:textId="77777777" w:rsidR="009A05BC" w:rsidRDefault="009A05BC" w:rsidP="009A05BC">
            <w:pPr>
              <w:spacing w:after="0" w:line="265" w:lineRule="auto"/>
              <w:ind w:left="3226" w:right="369" w:hanging="3226"/>
              <w:rPr>
                <w:color w:val="FF0000"/>
              </w:rPr>
            </w:pPr>
            <w:r>
              <w:rPr>
                <w:color w:val="FF0000"/>
              </w:rPr>
              <w:t>Die Fürsten bek</w:t>
            </w:r>
            <w:r>
              <w:rPr>
                <w:color w:val="FF0000"/>
              </w:rPr>
              <w:t>ennen sich ganz offen gegenüber</w:t>
            </w:r>
          </w:p>
          <w:p w14:paraId="4C1C1935" w14:textId="77777777" w:rsidR="009A05BC" w:rsidRDefault="009A05BC" w:rsidP="009A05BC">
            <w:pPr>
              <w:spacing w:after="0" w:line="265" w:lineRule="auto"/>
              <w:ind w:left="3226" w:right="369" w:hanging="3226"/>
              <w:rPr>
                <w:color w:val="FF0000"/>
              </w:rPr>
            </w:pPr>
            <w:r>
              <w:rPr>
                <w:color w:val="FF0000"/>
              </w:rPr>
              <w:t>dem Kaiser Karl V.</w:t>
            </w:r>
            <w:r>
              <w:rPr>
                <w:color w:val="FF0000"/>
              </w:rPr>
              <w:t xml:space="preserve"> zum Protestantismus. Ab diesem </w:t>
            </w:r>
          </w:p>
          <w:p w14:paraId="6CFFD4C7" w14:textId="77777777" w:rsidR="009A05BC" w:rsidRDefault="009A05BC" w:rsidP="009A05BC">
            <w:pPr>
              <w:spacing w:after="0" w:line="265" w:lineRule="auto"/>
              <w:ind w:left="3226" w:right="369" w:hanging="3226"/>
              <w:rPr>
                <w:color w:val="FF0000"/>
              </w:rPr>
            </w:pPr>
            <w:r>
              <w:rPr>
                <w:color w:val="FF0000"/>
              </w:rPr>
              <w:t>Punkt ist</w:t>
            </w:r>
            <w:r>
              <w:rPr>
                <w:color w:val="FF0000"/>
              </w:rPr>
              <w:t xml:space="preserve"> </w:t>
            </w:r>
            <w:r>
              <w:rPr>
                <w:color w:val="FF0000"/>
              </w:rPr>
              <w:t>dann Refor</w:t>
            </w:r>
            <w:r>
              <w:rPr>
                <w:color w:val="FF0000"/>
              </w:rPr>
              <w:t>mation endgültig nicht mehr aus</w:t>
            </w:r>
          </w:p>
          <w:p w14:paraId="2D92BDEC" w14:textId="77777777" w:rsidR="009A05BC" w:rsidRPr="009A05BC" w:rsidRDefault="009A05BC" w:rsidP="009A05BC">
            <w:pPr>
              <w:spacing w:after="0" w:line="265" w:lineRule="auto"/>
              <w:ind w:left="2796" w:right="369" w:hanging="3226"/>
            </w:pPr>
            <w:r>
              <w:rPr>
                <w:color w:val="FF0000"/>
              </w:rPr>
              <w:t>der Welt zu schaffen.</w:t>
            </w:r>
          </w:p>
        </w:tc>
      </w:tr>
      <w:tr w:rsidR="009A05BC" w14:paraId="1410EE3D" w14:textId="77777777" w:rsidTr="00174174">
        <w:trPr>
          <w:trHeight w:val="963"/>
        </w:trPr>
        <w:tc>
          <w:tcPr>
            <w:tcW w:w="1405" w:type="dxa"/>
          </w:tcPr>
          <w:p w14:paraId="4006ED52" w14:textId="77777777" w:rsidR="009A05BC" w:rsidRDefault="009A05BC" w:rsidP="007B4730">
            <w:pPr>
              <w:pStyle w:val="Listenabsatz"/>
              <w:ind w:left="0"/>
              <w:rPr>
                <w:rFonts w:ascii="Arial" w:hAnsi="Arial" w:cs="Arial"/>
                <w:i/>
              </w:rPr>
            </w:pPr>
          </w:p>
          <w:p w14:paraId="64CB4B9D" w14:textId="77777777" w:rsidR="009A05BC" w:rsidRDefault="009A05BC" w:rsidP="007B4730">
            <w:pPr>
              <w:pStyle w:val="Listenabsatz"/>
              <w:ind w:left="0"/>
              <w:rPr>
                <w:rFonts w:ascii="Arial" w:hAnsi="Arial" w:cs="Arial"/>
                <w:i/>
              </w:rPr>
            </w:pPr>
          </w:p>
          <w:p w14:paraId="6620A44B" w14:textId="77777777" w:rsidR="009A05BC" w:rsidRPr="00174174" w:rsidRDefault="00174174" w:rsidP="007B4730">
            <w:pPr>
              <w:pStyle w:val="Listenabsatz"/>
              <w:ind w:left="0"/>
              <w:rPr>
                <w:rFonts w:ascii="Arial" w:hAnsi="Arial" w:cs="Arial"/>
                <w:i/>
                <w:color w:val="FF0000"/>
              </w:rPr>
            </w:pPr>
            <w:r w:rsidRPr="00174174">
              <w:rPr>
                <w:rFonts w:ascii="Arial" w:hAnsi="Arial" w:cs="Arial"/>
                <w:i/>
                <w:color w:val="FF0000"/>
              </w:rPr>
              <w:t>1546/47</w:t>
            </w:r>
          </w:p>
          <w:p w14:paraId="0D4BBE6C" w14:textId="77777777" w:rsidR="009A05BC" w:rsidRDefault="009A05BC" w:rsidP="007B4730">
            <w:pPr>
              <w:pStyle w:val="Listenabsatz"/>
              <w:spacing w:after="0"/>
              <w:ind w:left="0"/>
              <w:rPr>
                <w:rFonts w:ascii="Arial" w:hAnsi="Arial" w:cs="Arial"/>
                <w:i/>
              </w:rPr>
            </w:pPr>
          </w:p>
        </w:tc>
        <w:tc>
          <w:tcPr>
            <w:tcW w:w="2329" w:type="dxa"/>
          </w:tcPr>
          <w:p w14:paraId="2DD4DB4D" w14:textId="77777777" w:rsidR="009A05BC" w:rsidRDefault="009A05BC" w:rsidP="007B4730">
            <w:pPr>
              <w:pStyle w:val="Listenabsatz"/>
              <w:spacing w:after="0"/>
              <w:ind w:left="0"/>
              <w:rPr>
                <w:rFonts w:ascii="Arial" w:hAnsi="Arial" w:cs="Arial"/>
                <w:i/>
              </w:rPr>
            </w:pPr>
          </w:p>
          <w:p w14:paraId="59EDD6F0" w14:textId="77777777" w:rsidR="00174174" w:rsidRDefault="00174174" w:rsidP="007B4730">
            <w:pPr>
              <w:pStyle w:val="Listenabsatz"/>
              <w:spacing w:after="0"/>
              <w:ind w:left="0"/>
              <w:rPr>
                <w:rFonts w:ascii="Arial" w:hAnsi="Arial" w:cs="Arial"/>
                <w:i/>
              </w:rPr>
            </w:pPr>
            <w:r>
              <w:rPr>
                <w:rFonts w:ascii="Arial" w:hAnsi="Arial" w:cs="Arial"/>
                <w:i/>
              </w:rPr>
              <w:t>Schmalkaldischer Krieg</w:t>
            </w:r>
          </w:p>
        </w:tc>
        <w:tc>
          <w:tcPr>
            <w:tcW w:w="5325" w:type="dxa"/>
          </w:tcPr>
          <w:p w14:paraId="145B9759" w14:textId="77777777" w:rsidR="00174174" w:rsidRDefault="00174174" w:rsidP="00174174">
            <w:pPr>
              <w:spacing w:after="0" w:line="265" w:lineRule="auto"/>
              <w:ind w:right="107"/>
            </w:pPr>
            <w:r>
              <w:rPr>
                <w:color w:val="FF0000"/>
              </w:rPr>
              <w:t>M</w:t>
            </w:r>
            <w:r>
              <w:rPr>
                <w:color w:val="FF0000"/>
              </w:rPr>
              <w:t xml:space="preserve">ehrere protestantische Fürsten bilden dann den sogenannten Schmalkaldischen Bund. Dort gibt es dann </w:t>
            </w:r>
          </w:p>
          <w:p w14:paraId="18C9E2DD" w14:textId="77777777" w:rsidR="009A05BC" w:rsidRPr="00174174" w:rsidRDefault="00174174" w:rsidP="00174174">
            <w:pPr>
              <w:spacing w:after="0" w:line="265" w:lineRule="auto"/>
              <w:ind w:right="107"/>
            </w:pPr>
            <w:r>
              <w:rPr>
                <w:color w:val="FF0000"/>
              </w:rPr>
              <w:t>wieder militärische Auseinandersetzungen mit dem Kaiser und seinen katholischen Verbündeten.</w:t>
            </w:r>
          </w:p>
        </w:tc>
      </w:tr>
      <w:tr w:rsidR="00174174" w14:paraId="7FE73F81" w14:textId="77777777" w:rsidTr="00174174">
        <w:trPr>
          <w:trHeight w:val="963"/>
        </w:trPr>
        <w:tc>
          <w:tcPr>
            <w:tcW w:w="1405" w:type="dxa"/>
          </w:tcPr>
          <w:p w14:paraId="6890453E" w14:textId="77777777" w:rsidR="00174174" w:rsidRDefault="00174174" w:rsidP="007B4730">
            <w:pPr>
              <w:pStyle w:val="Listenabsatz"/>
              <w:ind w:left="0"/>
              <w:rPr>
                <w:rFonts w:ascii="Arial" w:hAnsi="Arial" w:cs="Arial"/>
                <w:i/>
              </w:rPr>
            </w:pPr>
          </w:p>
          <w:p w14:paraId="01BD4660" w14:textId="77777777" w:rsidR="00174174" w:rsidRDefault="00174174" w:rsidP="007B4730">
            <w:pPr>
              <w:pStyle w:val="Listenabsatz"/>
              <w:ind w:left="0"/>
              <w:rPr>
                <w:rFonts w:ascii="Arial" w:hAnsi="Arial" w:cs="Arial"/>
                <w:i/>
              </w:rPr>
            </w:pPr>
          </w:p>
          <w:p w14:paraId="55418519" w14:textId="77777777" w:rsidR="00174174" w:rsidRDefault="00174174" w:rsidP="007B4730">
            <w:pPr>
              <w:pStyle w:val="Listenabsatz"/>
              <w:ind w:left="0"/>
              <w:rPr>
                <w:rFonts w:ascii="Arial" w:hAnsi="Arial" w:cs="Arial"/>
                <w:i/>
              </w:rPr>
            </w:pPr>
            <w:r>
              <w:rPr>
                <w:rFonts w:ascii="Arial" w:hAnsi="Arial" w:cs="Arial"/>
                <w:i/>
              </w:rPr>
              <w:t>1555</w:t>
            </w:r>
          </w:p>
          <w:p w14:paraId="4D9C0113" w14:textId="77777777" w:rsidR="00174174" w:rsidRDefault="00174174" w:rsidP="007B4730">
            <w:pPr>
              <w:pStyle w:val="Listenabsatz"/>
              <w:spacing w:after="0"/>
              <w:ind w:left="0"/>
              <w:rPr>
                <w:rFonts w:ascii="Arial" w:hAnsi="Arial" w:cs="Arial"/>
                <w:i/>
              </w:rPr>
            </w:pPr>
          </w:p>
        </w:tc>
        <w:tc>
          <w:tcPr>
            <w:tcW w:w="2329" w:type="dxa"/>
          </w:tcPr>
          <w:p w14:paraId="74E22372" w14:textId="77777777" w:rsidR="00174174" w:rsidRDefault="00174174" w:rsidP="007B4730">
            <w:pPr>
              <w:pStyle w:val="Listenabsatz"/>
              <w:spacing w:after="0"/>
              <w:ind w:left="0"/>
              <w:rPr>
                <w:rFonts w:ascii="Arial" w:hAnsi="Arial" w:cs="Arial"/>
                <w:i/>
              </w:rPr>
            </w:pPr>
          </w:p>
          <w:p w14:paraId="2276BBAF" w14:textId="77777777" w:rsidR="00174174" w:rsidRDefault="00174174" w:rsidP="007B4730">
            <w:pPr>
              <w:pStyle w:val="Listenabsatz"/>
              <w:spacing w:after="0"/>
              <w:ind w:left="0"/>
              <w:rPr>
                <w:rFonts w:ascii="Arial" w:hAnsi="Arial" w:cs="Arial"/>
                <w:i/>
              </w:rPr>
            </w:pPr>
            <w:r>
              <w:rPr>
                <w:rFonts w:ascii="Arial" w:hAnsi="Arial" w:cs="Arial"/>
                <w:i/>
              </w:rPr>
              <w:t>Augsburger Religionsfrieden</w:t>
            </w:r>
          </w:p>
        </w:tc>
        <w:tc>
          <w:tcPr>
            <w:tcW w:w="5325" w:type="dxa"/>
          </w:tcPr>
          <w:p w14:paraId="400AF860" w14:textId="77777777" w:rsidR="00174174" w:rsidRDefault="00174174" w:rsidP="00174174">
            <w:pPr>
              <w:pStyle w:val="Listenabsatz"/>
              <w:spacing w:after="0"/>
              <w:ind w:left="0"/>
              <w:rPr>
                <w:rFonts w:ascii="Arial" w:hAnsi="Arial" w:cs="Arial"/>
                <w:i/>
              </w:rPr>
            </w:pPr>
            <w:r>
              <w:rPr>
                <w:rFonts w:ascii="Arial" w:hAnsi="Arial" w:cs="Arial"/>
                <w:i/>
              </w:rPr>
              <w:t xml:space="preserve">Die Auseinandersetzung um die Reformation wird hier vorerst abgeschlossen. Das Recht der Festlegung der Konfession liegt ab da in den Händen des </w:t>
            </w:r>
            <w:proofErr w:type="gramStart"/>
            <w:r>
              <w:rPr>
                <w:rFonts w:ascii="Arial" w:hAnsi="Arial" w:cs="Arial"/>
                <w:i/>
              </w:rPr>
              <w:t>jeweiligen  Landesherren</w:t>
            </w:r>
            <w:proofErr w:type="gramEnd"/>
            <w:r>
              <w:rPr>
                <w:rFonts w:ascii="Arial" w:hAnsi="Arial" w:cs="Arial"/>
                <w:i/>
              </w:rPr>
              <w:t>, der darüber entscheidet, welchen Glauben seine Untertanen haben.</w:t>
            </w:r>
          </w:p>
        </w:tc>
      </w:tr>
      <w:tr w:rsidR="00174174" w14:paraId="488F3D8E" w14:textId="77777777" w:rsidTr="00174174">
        <w:tc>
          <w:tcPr>
            <w:tcW w:w="1405" w:type="dxa"/>
          </w:tcPr>
          <w:p w14:paraId="657C46C0" w14:textId="77777777" w:rsidR="00174174" w:rsidRDefault="00174174" w:rsidP="007B4730">
            <w:pPr>
              <w:pStyle w:val="Listenabsatz"/>
              <w:spacing w:after="0"/>
              <w:ind w:left="0"/>
              <w:rPr>
                <w:rFonts w:ascii="Arial" w:hAnsi="Arial" w:cs="Arial"/>
                <w:i/>
              </w:rPr>
            </w:pPr>
          </w:p>
          <w:p w14:paraId="6BB31C93" w14:textId="77777777" w:rsidR="00174174" w:rsidRDefault="00174174" w:rsidP="007B4730">
            <w:pPr>
              <w:pStyle w:val="Listenabsatz"/>
              <w:spacing w:after="0"/>
              <w:ind w:left="0"/>
              <w:rPr>
                <w:rFonts w:ascii="Arial" w:hAnsi="Arial" w:cs="Arial"/>
                <w:i/>
              </w:rPr>
            </w:pPr>
            <w:r>
              <w:rPr>
                <w:rFonts w:ascii="Arial" w:hAnsi="Arial" w:cs="Arial"/>
                <w:i/>
              </w:rPr>
              <w:t>1618-1648</w:t>
            </w:r>
          </w:p>
        </w:tc>
        <w:tc>
          <w:tcPr>
            <w:tcW w:w="2329" w:type="dxa"/>
          </w:tcPr>
          <w:p w14:paraId="515C11A9" w14:textId="77777777" w:rsidR="00174174" w:rsidRDefault="00174174" w:rsidP="007B4730">
            <w:pPr>
              <w:pStyle w:val="Listenabsatz"/>
              <w:ind w:left="0"/>
              <w:rPr>
                <w:rFonts w:ascii="Arial" w:hAnsi="Arial" w:cs="Arial"/>
                <w:i/>
              </w:rPr>
            </w:pPr>
          </w:p>
          <w:p w14:paraId="541E6DB7" w14:textId="77777777" w:rsidR="00174174" w:rsidRDefault="00174174" w:rsidP="007B4730">
            <w:pPr>
              <w:pStyle w:val="Listenabsatz"/>
              <w:spacing w:after="0"/>
              <w:ind w:left="0"/>
              <w:rPr>
                <w:rFonts w:ascii="Arial" w:hAnsi="Arial" w:cs="Arial"/>
                <w:i/>
              </w:rPr>
            </w:pPr>
            <w:r>
              <w:rPr>
                <w:rFonts w:ascii="Arial" w:hAnsi="Arial" w:cs="Arial"/>
                <w:i/>
              </w:rPr>
              <w:t>Dreißigjähriger Krieg</w:t>
            </w:r>
          </w:p>
        </w:tc>
        <w:tc>
          <w:tcPr>
            <w:tcW w:w="5325" w:type="dxa"/>
          </w:tcPr>
          <w:p w14:paraId="2E63DFD8" w14:textId="77777777" w:rsidR="00174174" w:rsidRDefault="00174174" w:rsidP="007B4730">
            <w:pPr>
              <w:pStyle w:val="Listenabsatz"/>
              <w:spacing w:after="0"/>
              <w:ind w:left="0"/>
              <w:rPr>
                <w:rFonts w:ascii="Arial" w:hAnsi="Arial" w:cs="Arial"/>
                <w:i/>
              </w:rPr>
            </w:pPr>
            <w:r w:rsidRPr="00900556">
              <w:rPr>
                <w:rFonts w:ascii="Arial" w:hAnsi="Arial" w:cs="Arial"/>
                <w:i/>
              </w:rPr>
              <w:t>Dieser bestand aus den Teilkriegen Böhmisch-Pfälzischer</w:t>
            </w:r>
            <w:r>
              <w:rPr>
                <w:rFonts w:ascii="Arial" w:hAnsi="Arial" w:cs="Arial"/>
                <w:i/>
              </w:rPr>
              <w:t xml:space="preserve"> </w:t>
            </w:r>
            <w:r w:rsidRPr="00900556">
              <w:rPr>
                <w:rFonts w:ascii="Arial" w:hAnsi="Arial" w:cs="Arial"/>
                <w:i/>
              </w:rPr>
              <w:t>Krieg, Niedersächsisch-Dänischer Krieg, Schwedischer</w:t>
            </w:r>
            <w:r>
              <w:rPr>
                <w:rFonts w:ascii="Arial" w:hAnsi="Arial" w:cs="Arial"/>
                <w:i/>
              </w:rPr>
              <w:t xml:space="preserve"> </w:t>
            </w:r>
            <w:r w:rsidRPr="00900556">
              <w:rPr>
                <w:rFonts w:ascii="Arial" w:hAnsi="Arial" w:cs="Arial"/>
                <w:i/>
              </w:rPr>
              <w:t>Krieg und Schwedisch-Französischer Krieg und wurde</w:t>
            </w:r>
            <w:r>
              <w:rPr>
                <w:rFonts w:ascii="Arial" w:hAnsi="Arial" w:cs="Arial"/>
                <w:i/>
              </w:rPr>
              <w:t xml:space="preserve"> </w:t>
            </w:r>
            <w:r w:rsidRPr="00900556">
              <w:rPr>
                <w:rFonts w:ascii="Arial" w:hAnsi="Arial" w:cs="Arial"/>
                <w:i/>
              </w:rPr>
              <w:t>durch die Glaubensfrage ausgelöst.</w:t>
            </w:r>
          </w:p>
        </w:tc>
      </w:tr>
      <w:tr w:rsidR="00174174" w14:paraId="1B53AF95" w14:textId="77777777" w:rsidTr="00174174">
        <w:trPr>
          <w:trHeight w:val="223"/>
        </w:trPr>
        <w:tc>
          <w:tcPr>
            <w:tcW w:w="1405" w:type="dxa"/>
          </w:tcPr>
          <w:p w14:paraId="3A39537E" w14:textId="77777777" w:rsidR="00174174" w:rsidRDefault="00174174" w:rsidP="007B4730">
            <w:pPr>
              <w:pStyle w:val="Listenabsatz"/>
              <w:ind w:left="0"/>
              <w:rPr>
                <w:rFonts w:ascii="Arial" w:hAnsi="Arial" w:cs="Arial"/>
                <w:i/>
              </w:rPr>
            </w:pPr>
          </w:p>
          <w:p w14:paraId="4444D99F" w14:textId="77777777" w:rsidR="00174174" w:rsidRDefault="00174174" w:rsidP="007B4730">
            <w:pPr>
              <w:pStyle w:val="Listenabsatz"/>
              <w:ind w:left="0"/>
              <w:rPr>
                <w:rFonts w:ascii="Arial" w:hAnsi="Arial" w:cs="Arial"/>
                <w:i/>
              </w:rPr>
            </w:pPr>
            <w:r>
              <w:rPr>
                <w:rFonts w:ascii="Arial" w:hAnsi="Arial" w:cs="Arial"/>
                <w:i/>
              </w:rPr>
              <w:t>1648</w:t>
            </w:r>
          </w:p>
          <w:p w14:paraId="205D823A" w14:textId="77777777" w:rsidR="00174174" w:rsidRDefault="00174174" w:rsidP="007B4730">
            <w:pPr>
              <w:pStyle w:val="Listenabsatz"/>
              <w:spacing w:after="0"/>
              <w:ind w:left="0"/>
              <w:rPr>
                <w:rFonts w:ascii="Arial" w:hAnsi="Arial" w:cs="Arial"/>
                <w:i/>
              </w:rPr>
            </w:pPr>
          </w:p>
        </w:tc>
        <w:tc>
          <w:tcPr>
            <w:tcW w:w="2329" w:type="dxa"/>
          </w:tcPr>
          <w:p w14:paraId="3E59C044" w14:textId="77777777" w:rsidR="00174174" w:rsidRDefault="00174174" w:rsidP="007B4730">
            <w:pPr>
              <w:pStyle w:val="Listenabsatz"/>
              <w:spacing w:after="0"/>
              <w:ind w:left="0"/>
              <w:rPr>
                <w:rFonts w:ascii="Arial" w:hAnsi="Arial" w:cs="Arial"/>
                <w:i/>
              </w:rPr>
            </w:pPr>
            <w:r>
              <w:rPr>
                <w:rFonts w:ascii="Arial" w:hAnsi="Arial" w:cs="Arial"/>
                <w:i/>
              </w:rPr>
              <w:br/>
              <w:t>Westfälischer Frieden</w:t>
            </w:r>
          </w:p>
        </w:tc>
        <w:tc>
          <w:tcPr>
            <w:tcW w:w="5325" w:type="dxa"/>
          </w:tcPr>
          <w:p w14:paraId="1431B856" w14:textId="77777777" w:rsidR="00174174" w:rsidRDefault="00174174" w:rsidP="009A05BC">
            <w:pPr>
              <w:spacing w:after="0" w:line="265" w:lineRule="auto"/>
              <w:ind w:right="107"/>
            </w:pPr>
            <w:r>
              <w:rPr>
                <w:color w:val="FF0000"/>
              </w:rPr>
              <w:t>Die Gleichstellung aller drei Konfessionen (katholische, protestantische, reformierte) im Reich.</w:t>
            </w:r>
          </w:p>
          <w:p w14:paraId="52798798" w14:textId="77777777" w:rsidR="00174174" w:rsidRDefault="00174174" w:rsidP="007B4730">
            <w:pPr>
              <w:pStyle w:val="Listenabsatz"/>
              <w:spacing w:after="0"/>
              <w:ind w:left="0"/>
              <w:rPr>
                <w:rFonts w:ascii="Arial" w:hAnsi="Arial" w:cs="Arial"/>
                <w:i/>
              </w:rPr>
            </w:pPr>
          </w:p>
        </w:tc>
      </w:tr>
    </w:tbl>
    <w:p w14:paraId="7483A70A" w14:textId="77777777" w:rsidR="009A05BC" w:rsidRPr="009A05BC" w:rsidRDefault="009A05BC" w:rsidP="009A05BC"/>
    <w:p w14:paraId="79AC2882" w14:textId="77777777" w:rsidR="009A05BC" w:rsidRDefault="009A05BC" w:rsidP="009A05BC">
      <w:pPr>
        <w:spacing w:after="0" w:line="265" w:lineRule="auto"/>
        <w:ind w:left="3656" w:right="107" w:hanging="3086"/>
      </w:pPr>
    </w:p>
    <w:p w14:paraId="5C9B096C" w14:textId="77777777" w:rsidR="009A05BC" w:rsidRDefault="009A05BC" w:rsidP="009A05BC">
      <w:pPr>
        <w:spacing w:after="0" w:line="265" w:lineRule="auto"/>
        <w:ind w:left="3656" w:right="107" w:hanging="3086"/>
      </w:pPr>
    </w:p>
    <w:p w14:paraId="42C55A5D" w14:textId="77777777" w:rsidR="009A05BC" w:rsidRDefault="009A05BC" w:rsidP="009A05BC">
      <w:pPr>
        <w:spacing w:after="0" w:line="265" w:lineRule="auto"/>
        <w:ind w:left="3656" w:right="107" w:hanging="3086"/>
      </w:pPr>
    </w:p>
    <w:p w14:paraId="28286B5E" w14:textId="77777777" w:rsidR="009A05BC" w:rsidRDefault="009A05BC"/>
    <w:sectPr w:rsidR="009A05BC" w:rsidSect="009A05BC">
      <w:headerReference w:type="default" r:id="rId12"/>
      <w:footerReference w:type="default" r:id="rId13"/>
      <w:pgSz w:w="11900" w:h="16840"/>
      <w:pgMar w:top="1417" w:right="1417" w:bottom="1134"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72A08" w14:textId="77777777" w:rsidR="003001E1" w:rsidRPr="008366B8" w:rsidRDefault="009A12E8" w:rsidP="003001E1">
    <w:pPr>
      <w:spacing w:after="0" w:line="241" w:lineRule="auto"/>
      <w:ind w:left="400" w:right="747" w:firstLine="180"/>
      <w:rPr>
        <w:rFonts w:ascii="Arial" w:hAnsi="Arial" w:cs="Arial"/>
        <w:sz w:val="18"/>
        <w:szCs w:val="18"/>
      </w:rPr>
    </w:pPr>
    <w:r w:rsidRPr="008366B8">
      <w:rPr>
        <w:rFonts w:ascii="Arial" w:hAnsi="Arial" w:cs="Arial"/>
        <w:noProof/>
        <w:sz w:val="18"/>
        <w:szCs w:val="18"/>
      </w:rPr>
      <w:drawing>
        <wp:anchor distT="0" distB="0" distL="114300" distR="114300" simplePos="0" relativeHeight="251659264" behindDoc="0" locked="0" layoutInCell="1" allowOverlap="1" wp14:anchorId="62274462" wp14:editId="17774742">
          <wp:simplePos x="0" y="0"/>
          <wp:positionH relativeFrom="page">
            <wp:posOffset>850605</wp:posOffset>
          </wp:positionH>
          <wp:positionV relativeFrom="page">
            <wp:posOffset>9718158</wp:posOffset>
          </wp:positionV>
          <wp:extent cx="1029335" cy="457082"/>
          <wp:effectExtent l="0" t="0" r="0" b="635"/>
          <wp:wrapTight wrapText="bothSides">
            <wp:wrapPolygon edited="0">
              <wp:start x="0" y="0"/>
              <wp:lineTo x="0" y="20428"/>
              <wp:lineTo x="20787" y="20428"/>
              <wp:lineTo x="20787" y="0"/>
              <wp:lineTo x="0" y="0"/>
            </wp:wrapPolygon>
          </wp:wrapTight>
          <wp:docPr id="1" name="Picture 35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042303" cy="462841"/>
                  </a:xfrm>
                  <a:prstGeom prst="rect">
                    <a:avLst/>
                  </a:prstGeom>
                </pic:spPr>
              </pic:pic>
            </a:graphicData>
          </a:graphic>
          <wp14:sizeRelH relativeFrom="margin">
            <wp14:pctWidth>0</wp14:pctWidth>
          </wp14:sizeRelH>
          <wp14:sizeRelV relativeFrom="margin">
            <wp14:pctHeight>0</wp14:pctHeight>
          </wp14:sizeRelV>
        </wp:anchor>
      </w:drawing>
    </w:r>
    <w:r w:rsidRPr="008366B8">
      <w:rPr>
        <w:rFonts w:ascii="Arial" w:hAnsi="Arial" w:cs="Arial"/>
        <w:sz w:val="18"/>
        <w:szCs w:val="18"/>
      </w:rPr>
      <w:t>Fl</w:t>
    </w:r>
    <w:r w:rsidRPr="008366B8">
      <w:rPr>
        <w:rFonts w:ascii="Arial" w:hAnsi="Arial" w:cs="Arial"/>
        <w:sz w:val="18"/>
        <w:szCs w:val="18"/>
      </w:rPr>
      <w:t>ugblätter als Medien der Reformation</w:t>
    </w:r>
    <w:r w:rsidRPr="008366B8">
      <w:rPr>
        <w:rFonts w:ascii="Arial" w:hAnsi="Arial" w:cs="Arial"/>
        <w:sz w:val="18"/>
        <w:szCs w:val="18"/>
      </w:rPr>
      <w:t>“</w:t>
    </w:r>
    <w:r w:rsidRPr="008366B8">
      <w:rPr>
        <w:rFonts w:ascii="Arial" w:hAnsi="Arial" w:cs="Arial"/>
        <w:sz w:val="18"/>
        <w:szCs w:val="18"/>
      </w:rPr>
      <w:t xml:space="preserve"> von Universität Leipzig (</w:t>
    </w:r>
    <w:r w:rsidRPr="008366B8">
      <w:rPr>
        <w:rFonts w:ascii="Arial" w:hAnsi="Arial" w:cs="Arial"/>
        <w:sz w:val="18"/>
        <w:szCs w:val="18"/>
      </w:rPr>
      <w:t xml:space="preserve">Schramm, </w:t>
    </w:r>
    <w:r>
      <w:rPr>
        <w:sz w:val="18"/>
        <w:szCs w:val="18"/>
      </w:rPr>
      <w:br/>
      <w:t xml:space="preserve"> </w:t>
    </w:r>
    <w:r w:rsidRPr="008366B8">
      <w:rPr>
        <w:rFonts w:ascii="Arial" w:hAnsi="Arial" w:cs="Arial"/>
        <w:sz w:val="18"/>
        <w:szCs w:val="18"/>
      </w:rPr>
      <w:t xml:space="preserve"> </w:t>
    </w:r>
    <w:r>
      <w:rPr>
        <w:sz w:val="18"/>
        <w:szCs w:val="18"/>
      </w:rPr>
      <w:t xml:space="preserve">  </w:t>
    </w:r>
    <w:r w:rsidRPr="008366B8">
      <w:rPr>
        <w:rFonts w:ascii="Arial" w:hAnsi="Arial" w:cs="Arial"/>
        <w:sz w:val="18"/>
        <w:szCs w:val="18"/>
      </w:rPr>
      <w:t xml:space="preserve">Fähnrich, </w:t>
    </w:r>
    <w:proofErr w:type="spellStart"/>
    <w:r w:rsidRPr="008366B8">
      <w:rPr>
        <w:rFonts w:ascii="Arial" w:hAnsi="Arial" w:cs="Arial"/>
        <w:sz w:val="18"/>
        <w:szCs w:val="18"/>
      </w:rPr>
      <w:t>Puschnigg</w:t>
    </w:r>
    <w:proofErr w:type="spellEnd"/>
    <w:r w:rsidRPr="008366B8">
      <w:rPr>
        <w:rFonts w:ascii="Arial" w:hAnsi="Arial" w:cs="Arial"/>
        <w:sz w:val="18"/>
        <w:szCs w:val="18"/>
      </w:rPr>
      <w:t xml:space="preserve">, Sauer) </w:t>
    </w:r>
    <w:r w:rsidRPr="008366B8">
      <w:rPr>
        <w:rFonts w:ascii="Arial" w:hAnsi="Arial" w:cs="Arial"/>
        <w:sz w:val="18"/>
        <w:szCs w:val="18"/>
      </w:rPr>
      <w:t xml:space="preserve">ist lizenziert unter einer </w:t>
    </w:r>
    <w:r w:rsidRPr="008366B8">
      <w:rPr>
        <w:rFonts w:ascii="Arial" w:hAnsi="Arial" w:cs="Arial"/>
        <w:color w:val="0000FF"/>
        <w:sz w:val="18"/>
        <w:szCs w:val="18"/>
        <w:u w:val="single" w:color="0000FF"/>
      </w:rPr>
      <w:t xml:space="preserve">Creative </w:t>
    </w:r>
    <w:proofErr w:type="spellStart"/>
    <w:r w:rsidRPr="008366B8">
      <w:rPr>
        <w:rFonts w:ascii="Arial" w:hAnsi="Arial" w:cs="Arial"/>
        <w:color w:val="0000FF"/>
        <w:sz w:val="18"/>
        <w:szCs w:val="18"/>
        <w:u w:val="single" w:color="0000FF"/>
      </w:rPr>
      <w:t>Commons</w:t>
    </w:r>
    <w:proofErr w:type="spellEnd"/>
    <w:r w:rsidRPr="008366B8">
      <w:rPr>
        <w:rFonts w:ascii="Arial" w:hAnsi="Arial" w:cs="Arial"/>
        <w:color w:val="0000FF"/>
        <w:sz w:val="18"/>
        <w:szCs w:val="18"/>
        <w:u w:val="single" w:color="0000FF"/>
      </w:rPr>
      <w:t xml:space="preserve"> </w:t>
    </w:r>
  </w:p>
  <w:p w14:paraId="52942BC1" w14:textId="77777777" w:rsidR="003001E1" w:rsidRPr="008366B8" w:rsidRDefault="009A12E8" w:rsidP="003001E1">
    <w:pPr>
      <w:spacing w:after="0"/>
      <w:ind w:left="400"/>
      <w:rPr>
        <w:rFonts w:ascii="Arial" w:hAnsi="Arial" w:cs="Arial"/>
        <w:sz w:val="18"/>
        <w:szCs w:val="18"/>
      </w:rPr>
    </w:pPr>
    <w:r>
      <w:rPr>
        <w:color w:val="0000FF"/>
        <w:sz w:val="18"/>
        <w:szCs w:val="18"/>
      </w:rPr>
      <w:t xml:space="preserve"> </w:t>
    </w:r>
    <w:r>
      <w:rPr>
        <w:color w:val="0000FF"/>
        <w:sz w:val="18"/>
        <w:szCs w:val="18"/>
      </w:rPr>
      <w:t xml:space="preserve">  </w:t>
    </w:r>
    <w:r>
      <w:rPr>
        <w:color w:val="0000FF"/>
        <w:sz w:val="18"/>
        <w:szCs w:val="18"/>
      </w:rPr>
      <w:t xml:space="preserve"> </w:t>
    </w:r>
    <w:r w:rsidRPr="008366B8">
      <w:rPr>
        <w:rFonts w:ascii="Arial" w:hAnsi="Arial" w:cs="Arial"/>
        <w:color w:val="0000FF"/>
        <w:sz w:val="18"/>
        <w:szCs w:val="18"/>
        <w:u w:val="single" w:color="0000FF"/>
      </w:rPr>
      <w:t xml:space="preserve">Namensnennung - Weitergabe unter gleichen Bedingungen 4.0 International </w:t>
    </w:r>
    <w:r w:rsidRPr="008366B8">
      <w:rPr>
        <w:rFonts w:ascii="Arial" w:hAnsi="Arial" w:cs="Arial"/>
        <w:color w:val="0000FF"/>
        <w:sz w:val="18"/>
        <w:szCs w:val="18"/>
        <w:u w:val="single" w:color="0000FF"/>
      </w:rPr>
      <w:t>Lizenz</w:t>
    </w:r>
    <w:r w:rsidRPr="008366B8">
      <w:rPr>
        <w:rFonts w:ascii="Arial" w:hAnsi="Arial" w:cs="Arial"/>
        <w:sz w:val="18"/>
        <w:szCs w:val="18"/>
      </w:rPr>
      <w:t xml:space="preserve">. </w:t>
    </w:r>
  </w:p>
  <w:p w14:paraId="195F6375" w14:textId="77777777" w:rsidR="003001E1" w:rsidRDefault="009A12E8">
    <w:pPr>
      <w:pStyle w:val="Fuzeil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C1E2" w14:textId="77777777" w:rsidR="008552D7" w:rsidRDefault="009A12E8" w:rsidP="008552D7">
    <w:pPr>
      <w:pStyle w:val="Kopfzeile"/>
      <w:jc w:val="center"/>
    </w:pPr>
    <w:r>
      <w:t>„</w:t>
    </w:r>
    <w:r>
      <w:t>Flugblätter als Medien der Reformation</w:t>
    </w:r>
    <w:r>
      <w:t>“</w:t>
    </w:r>
    <w:r>
      <w:t xml:space="preserve"> (AB 1_B</w:t>
    </w:r>
    <w:r>
      <w:t>)</w:t>
    </w:r>
  </w:p>
  <w:p w14:paraId="6D4ECEDE" w14:textId="77777777" w:rsidR="008552D7" w:rsidRDefault="009A12E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641FC"/>
    <w:multiLevelType w:val="hybridMultilevel"/>
    <w:tmpl w:val="4532FD52"/>
    <w:lvl w:ilvl="0" w:tplc="0407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93A41B0">
      <w:start w:val="1"/>
      <w:numFmt w:val="lowerLetter"/>
      <w:lvlText w:val="%2"/>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AA02A8">
      <w:start w:val="1"/>
      <w:numFmt w:val="lowerRoman"/>
      <w:lvlText w:val="%3"/>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70D802">
      <w:start w:val="1"/>
      <w:numFmt w:val="decimal"/>
      <w:lvlText w:val="%4"/>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608B68">
      <w:start w:val="1"/>
      <w:numFmt w:val="lowerLetter"/>
      <w:lvlText w:val="%5"/>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0BF62">
      <w:start w:val="1"/>
      <w:numFmt w:val="lowerRoman"/>
      <w:lvlText w:val="%6"/>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1C28BA">
      <w:start w:val="1"/>
      <w:numFmt w:val="decimal"/>
      <w:lvlText w:val="%7"/>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168BC4">
      <w:start w:val="1"/>
      <w:numFmt w:val="lowerLetter"/>
      <w:lvlText w:val="%8"/>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7A0086">
      <w:start w:val="1"/>
      <w:numFmt w:val="lowerRoman"/>
      <w:lvlText w:val="%9"/>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7689246C"/>
    <w:multiLevelType w:val="hybridMultilevel"/>
    <w:tmpl w:val="9BD479A8"/>
    <w:lvl w:ilvl="0" w:tplc="5B2E6D9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BC"/>
    <w:rsid w:val="00174174"/>
    <w:rsid w:val="009676B2"/>
    <w:rsid w:val="009A05BC"/>
    <w:rsid w:val="009A12E8"/>
    <w:rsid w:val="00F46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5F578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05BC"/>
    <w:pPr>
      <w:spacing w:after="160" w:line="259" w:lineRule="auto"/>
    </w:pPr>
    <w:rPr>
      <w:rFonts w:ascii="Calibri" w:eastAsia="Calibri" w:hAnsi="Calibri" w:cs="Calibri"/>
      <w:color w:val="000000"/>
      <w:sz w:val="22"/>
      <w:szCs w:val="22"/>
      <w:lang w:eastAsia="de-DE"/>
    </w:rPr>
  </w:style>
  <w:style w:type="paragraph" w:styleId="berschrift1">
    <w:name w:val="heading 1"/>
    <w:next w:val="Standard"/>
    <w:link w:val="berschrift1Zchn"/>
    <w:uiPriority w:val="9"/>
    <w:unhideWhenUsed/>
    <w:qFormat/>
    <w:rsid w:val="009A05BC"/>
    <w:pPr>
      <w:keepNext/>
      <w:keepLines/>
      <w:spacing w:after="156" w:line="259" w:lineRule="auto"/>
      <w:outlineLvl w:val="0"/>
    </w:pPr>
    <w:rPr>
      <w:rFonts w:ascii="Calibri" w:eastAsia="Calibri" w:hAnsi="Calibri" w:cs="Calibri"/>
      <w:b/>
      <w:color w:val="000000"/>
      <w:sz w:val="30"/>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5BC"/>
    <w:rPr>
      <w:rFonts w:ascii="Calibri" w:eastAsia="Calibri" w:hAnsi="Calibri" w:cs="Calibri"/>
      <w:b/>
      <w:color w:val="000000"/>
      <w:sz w:val="30"/>
      <w:szCs w:val="22"/>
      <w:lang w:eastAsia="de-DE"/>
    </w:rPr>
  </w:style>
  <w:style w:type="table" w:customStyle="1" w:styleId="TableGrid">
    <w:name w:val="TableGrid"/>
    <w:rsid w:val="009A05BC"/>
    <w:rPr>
      <w:rFonts w:eastAsiaTheme="minorEastAsia"/>
      <w:sz w:val="22"/>
      <w:szCs w:val="22"/>
      <w:lang w:eastAsia="de-DE"/>
    </w:rPr>
    <w:tblPr>
      <w:tblCellMar>
        <w:top w:w="0" w:type="dxa"/>
        <w:left w:w="0" w:type="dxa"/>
        <w:bottom w:w="0" w:type="dxa"/>
        <w:right w:w="0" w:type="dxa"/>
      </w:tblCellMar>
    </w:tblPr>
  </w:style>
  <w:style w:type="paragraph" w:styleId="Kopfzeile">
    <w:name w:val="header"/>
    <w:basedOn w:val="Standard"/>
    <w:link w:val="KopfzeileZchn"/>
    <w:uiPriority w:val="99"/>
    <w:unhideWhenUsed/>
    <w:rsid w:val="009A05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05BC"/>
    <w:rPr>
      <w:rFonts w:ascii="Calibri" w:eastAsia="Calibri" w:hAnsi="Calibri" w:cs="Calibri"/>
      <w:color w:val="000000"/>
      <w:sz w:val="22"/>
      <w:szCs w:val="22"/>
      <w:lang w:eastAsia="de-DE"/>
    </w:rPr>
  </w:style>
  <w:style w:type="paragraph" w:styleId="Fuzeile">
    <w:name w:val="footer"/>
    <w:basedOn w:val="Standard"/>
    <w:link w:val="FuzeileZchn"/>
    <w:uiPriority w:val="99"/>
    <w:unhideWhenUsed/>
    <w:rsid w:val="009A05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5BC"/>
    <w:rPr>
      <w:rFonts w:ascii="Calibri" w:eastAsia="Calibri" w:hAnsi="Calibri" w:cs="Calibri"/>
      <w:color w:val="000000"/>
      <w:sz w:val="22"/>
      <w:szCs w:val="22"/>
      <w:lang w:eastAsia="de-DE"/>
    </w:rPr>
  </w:style>
  <w:style w:type="paragraph" w:styleId="Listenabsatz">
    <w:name w:val="List Paragraph"/>
    <w:basedOn w:val="Standard"/>
    <w:uiPriority w:val="34"/>
    <w:qFormat/>
    <w:rsid w:val="009A05BC"/>
    <w:pPr>
      <w:ind w:left="720"/>
      <w:contextualSpacing/>
    </w:pPr>
  </w:style>
  <w:style w:type="table" w:styleId="Tabellenraster">
    <w:name w:val="Table Grid"/>
    <w:basedOn w:val="NormaleTabelle"/>
    <w:uiPriority w:val="39"/>
    <w:rsid w:val="009A05BC"/>
    <w:rPr>
      <w:rFonts w:eastAsiaTheme="minorEastAsia"/>
      <w:sz w:val="22"/>
      <w:szCs w:val="22"/>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earningApps.org/watch?v=po76654xj17" TargetMode="External"/><Relationship Id="rId6" Type="http://schemas.openxmlformats.org/officeDocument/2006/relationships/hyperlink" Target="http://LearningApps.org/watch?v=po76654xj17" TargetMode="External"/><Relationship Id="rId7" Type="http://schemas.openxmlformats.org/officeDocument/2006/relationships/hyperlink" Target="http://LearningApps.org/watch?v=p5sgdg9kj17" TargetMode="External"/><Relationship Id="rId8" Type="http://schemas.openxmlformats.org/officeDocument/2006/relationships/hyperlink" Target="http://LearningApps.org/watch?v=p5sgdg9kj17" TargetMode="External"/><Relationship Id="rId9" Type="http://schemas.openxmlformats.org/officeDocument/2006/relationships/hyperlink" Target="http://LearningApps.org/watch?v=p5sgdg9kj17"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4274</Characters>
  <Application>Microsoft Macintosh Word</Application>
  <DocSecurity>0</DocSecurity>
  <Lines>35</Lines>
  <Paragraphs>9</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Ereignisse des konfessionellen Zeitalters (Gruppe B)</vt:lpstr>
      <vt:lpstr>Erwartungshorizont Ereignisse des konfessionellen Zeitalters (Gruppe B)</vt:lpstr>
    </vt:vector>
  </TitlesOfParts>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neubert</dc:creator>
  <cp:keywords/>
  <dc:description/>
  <cp:lastModifiedBy>anja neubert</cp:lastModifiedBy>
  <cp:revision>1</cp:revision>
  <dcterms:created xsi:type="dcterms:W3CDTF">2017-11-27T11:39:00Z</dcterms:created>
  <dcterms:modified xsi:type="dcterms:W3CDTF">2017-11-27T12:02:00Z</dcterms:modified>
</cp:coreProperties>
</file>